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4"/>
        <w:widowControl w:val="o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Сводный годовой доклад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о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ходе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реализации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и оценке эффективности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муниципальных программ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города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Мегион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в 2025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году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widowControl w:val="off"/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Cs/>
          <w:color w:val="000000" w:themeColor="text1"/>
          <w:sz w:val="28"/>
          <w:szCs w:val="28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+mn-ea"/>
          <w:color w:val="000000" w:themeColor="text1"/>
          <w:sz w:val="24"/>
          <w:szCs w:val="24"/>
        </w:rPr>
      </w:pP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Сводный годовой доклад о ходе реализации и оценки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эффективности муниципальных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программ подготовлен в соответствии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поста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новлением администрации города                            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от 21.06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.202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№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1287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«О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орядке разработки и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реализации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муниципальных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программ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(с изменениями)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+mn-ea"/>
          <w:color w:val="000000" w:themeColor="text1"/>
          <w:sz w:val="24"/>
          <w:szCs w:val="24"/>
        </w:rPr>
      </w:r>
      <w:r>
        <w:rPr>
          <w:rFonts w:ascii="Times New Roman" w:hAnsi="Times New Roman" w:eastAsia="+mn-ea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Arial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Основой для формирования сводного годового доклада являются годовые отчеты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ходе реализации и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оценке эффективности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муниципальных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программ, предоставленные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управление экономической политики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ответственными исполнителями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муниципальных программ, а также утвержденные муниципальные программы</w:t>
      </w:r>
      <w:r>
        <w:rPr>
          <w:rFonts w:ascii="Times New Roman" w:hAnsi="Times New Roman" w:eastAsia="Arial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Arial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На момент п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роведения оценки эффективности 3 муниципальные программы не приведены в соответст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вие с решениям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и Думы города Мегиона от 12.12.2025 №42 «О бюджете городского округа Меги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он Ханты-Мансийского автономного округа – Югры на 2026 год и плановый период 2027 и 2028 годов», от 25.12.2025 №43 «О внесении изменений в решение Думы города Мегиона от 09.12.2024 №4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27 «О бюджете городского округа Мегион Ханты-Мансийского автономного округа – Югры на 2025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го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д и плановый период 2026 и 2027 годов» (см изменениями). Оценка эффективности по муниципальным программам  «Культурное пространство в городе Мегионе», «Развитие информационного общества на территории города Мегиона», «Молодежная политика города Мегиона» пр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оведена на основании годовых отчетов ответственных исполнителей муниципальных программ.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+mn-ea"/>
          <w:color w:val="000000" w:themeColor="text1"/>
          <w:sz w:val="24"/>
          <w:szCs w:val="24"/>
        </w:rPr>
      </w:pP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По итогам 2025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года управлением экономической политики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на основе информации, представленной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ответственными исполнителями муниципальных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программ, по каждой программе проведена комплексная оценка эффективности реал</w:t>
      </w:r>
      <w:r>
        <w:rPr>
          <w:rFonts w:ascii="Times New Roman" w:hAnsi="Times New Roman" w:eastAsia="Arial"/>
          <w:color w:val="000000" w:themeColor="text1"/>
          <w:sz w:val="24"/>
          <w:szCs w:val="24"/>
          <w:lang w:eastAsia="ru-RU"/>
        </w:rPr>
        <w:t xml:space="preserve">изации муниципальных программ в соответствии с постановлением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администрации города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от 04.02.2016 №176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           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 «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О методике оценки эффективности реализации муниципа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льных программ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го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род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(с изменениями)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. Оценка проводилась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по следующим критериям: освоение средств за счет всех источников финансирования, степень достижения значений показателей муниципальной программы, объем дополнительно привлеченных средств для финансирования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муниципальной программы, степень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выполнения мероприятий муниципальной программы в отчетном году.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При оценке степени достижения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значений показателей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выше 100%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применялось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«отсечение» полученных значений до 100% с целью исключения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влияния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перевыполнения одного или нескольких мероприятий (показателей)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на оценку эффективности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муниципальной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программ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в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целом. Кроме того, значения показателей и объемов исполнения муниципальных программ от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95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% до 100% учитывали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сь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как достигнутые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в полном объеме.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+mn-ea"/>
          <w:color w:val="000000" w:themeColor="text1"/>
          <w:sz w:val="24"/>
          <w:szCs w:val="24"/>
        </w:rPr>
      </w:r>
      <w:r>
        <w:rPr>
          <w:rFonts w:ascii="Times New Roman" w:hAnsi="Times New Roman" w:eastAsia="+mn-ea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+mn-ea"/>
          <w:color w:val="000000" w:themeColor="text1"/>
          <w:sz w:val="24"/>
          <w:szCs w:val="24"/>
        </w:rPr>
      </w:pP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Необходимо отметить, что муниципальные программы содержат как «позитивные»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показатели, положительной динамикой изменения которых я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вляется увеличение их значений, так и «негативные», положительной динамикой изменений которых является уменьшение их значений.</w:t>
      </w:r>
      <w:r>
        <w:rPr>
          <w:rFonts w:ascii="Times New Roman" w:hAnsi="Times New Roman" w:eastAsia="+mn-ea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+mn-ea"/>
          <w:color w:val="000000" w:themeColor="text1"/>
          <w:sz w:val="24"/>
          <w:szCs w:val="24"/>
        </w:rPr>
      </w:r>
      <w:r>
        <w:rPr>
          <w:rFonts w:ascii="Times New Roman" w:hAnsi="Times New Roman" w:eastAsia="+mn-ea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Все муниципальные программы разработаны в соответствии с приоритетами социально-экономического развития, определенными Стратегией социально-экономического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развития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города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Мегион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 период до 203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1.Население и человеческий капитал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униципальная экономика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3.Г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ородская среда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4.Муниципальное управление и самоуправление.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город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2025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год были запланированы средства на финансирование 2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3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муниципальн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ых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программ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утвержденных распоряжением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от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24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.0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6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.2025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№105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«О перечне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муниципальных программ города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егиона» (с изменениями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)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Из утвержденных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муниципальных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 по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 привлекалось софинансирование из бюджетов других уровней.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Плановое финансирование муниципал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ьных про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грамм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2025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году, с учетом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всех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источников финансирования составило 8 600 551,0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федеральный бюджет – 159 691,5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рублей, бюджет автономного округа – 4 852 060,1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рублей, местный бюджет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3 588 799,4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тыс.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рублей.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Ф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актически освоено 8 279 773,8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тыс.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рублей, или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96,3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 от годового плана: федеральный бюджет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159 691,5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 (99,4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), бюджет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автономного 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руга – 4 726 052,5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тыс. рублей 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97,4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%), ме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стный бюджет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3 395 031,5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тыс. рублей 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94,6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%).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Исполнение расходных обязательств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 муниципальным программам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город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Мегион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 за 2025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tbl>
      <w:tblPr>
        <w:tblW w:w="9654" w:type="dxa"/>
        <w:tblInd w:w="9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962"/>
        <w:gridCol w:w="1701"/>
        <w:gridCol w:w="1417"/>
        <w:gridCol w:w="992"/>
      </w:tblGrid>
      <w:tr>
        <w:trPr>
          <w:trHeight w:val="600"/>
          <w:tblHeader/>
        </w:trPr>
        <w:tblPrEx/>
        <w:tc>
          <w:tcPr>
            <w:tcW w:w="5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Муниципальная программа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Объем финансирования на 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год, тыс. рублей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409" w:type="dxa"/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Исполнение за 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664"/>
          <w:tblHeader/>
        </w:trPr>
        <w:tblPrEx/>
        <w:tc>
          <w:tcPr>
            <w:tcW w:w="5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 рублей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7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систем гражданской защиты населения 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66 843,3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66 228,8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39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условий и охраны труда в городе Мегионе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2 612,0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2 596,9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65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Поддержка и развитие малого и среднего предпринимательства на территории 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4 536,6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4 536,6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05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гражданского общества на территории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6 488,7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6 443,7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3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муниципальными финансами в городе Мегионе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45 130,1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44 496,3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95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Культурное пространство в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городе Мегионе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723 133,7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711 121,7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муниципальной службы в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городе Мегионе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350,0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350,0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8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Информационное обеспечение деятельности органов местного самоуправления города Мегион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36 768,3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36 074,5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физической культуры и спорта, укрепление общественного здоровья в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городе Мегионе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435 893,7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432 588,8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25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муниципальным имуществ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ом 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36 890,8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30 816,4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83,5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9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жилищной сферы на территории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1 064 346,2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1 049 959,7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75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информационного общества на территории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44 504,8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44 247,3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5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транспортной системы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771 252,6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718 756,1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93,2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жилищно-коммунального комплекса и повышение энергетической эффективности в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городе Мегионе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763 959,9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659 057,6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Мероприятия в области градостроительной деятельности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11 156,9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9 985,4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89,5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Формирование доступной среды для инвалидов и других маломобильных групп населения на территории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14 723,5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7 786,5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52,9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Профилактика правонарушений в сфере обществе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нного порядка,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незаконного оборота и злоупотребления наркотиками в городе Мегионе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1 744,2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1 658,4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95,1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75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в городе Мегионе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9 574,9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9 551,5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99,8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54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образования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3 739 306,3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3 676 572,3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3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экологической безопасности на территории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19 342,2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18 049,6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93,3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муниципальн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ого управления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643 699,7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621 881,0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96,6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Формирование комфортной городской среды города Мегио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54 101,6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27 308,3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Молодежная политика города М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104 168,0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99 706,4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95,7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Всего в рамках муниципальных программ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8 600 551,0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8 279 773,8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По результатам оцен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ки 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 (34,8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%) получили расчетную оценку «отлично» и рекомендации обеспечить необходимый уровень финансирования муниципальных программ за счет средств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местного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бюджета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 (52,2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%) получили расчетную оценку «хорошо» и рекомендации сохранить прежний уровень финансирования муниципальных программ за счет средств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местного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бюджета в очередном финансовом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3 программы (13,0%) получили расчетную оценку «удовлетворительно» и рекомендации сохранить уровень финансирования муниципальной программы за счет средств местного бюджета в очередном финансовом году при условии ее корректировки.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Результаты комплексной оценки эффективности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реализации муниципальных программ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tbl>
      <w:tblPr>
        <w:tblW w:w="9513" w:type="dxa"/>
        <w:tblInd w:w="9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6"/>
        <w:gridCol w:w="4916"/>
        <w:gridCol w:w="1276"/>
        <w:gridCol w:w="1275"/>
        <w:gridCol w:w="1560"/>
      </w:tblGrid>
      <w:tr>
        <w:trPr>
          <w:trHeight w:val="545"/>
          <w:tblHeader/>
        </w:trPr>
        <w:tblPrEx/>
        <w:tc>
          <w:tcPr>
            <w:tcW w:w="4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программы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Комплексный критерий оценки программы (R)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Оценка эффективности программы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за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74"/>
          <w:tblHeader/>
        </w:trPr>
        <w:tblPrEx/>
        <w:tc>
          <w:tcPr>
            <w:tcW w:w="4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4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60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систем гражданской защиты населения 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4,7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8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условий и охраны труда в городе Мегионе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7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Поддержка и развитие малого и среднего предпринимательства на территории 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7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гражданского общества на территории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4,8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8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муниципальными финансами в городе Мегионе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0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Культурное пространство в городе Мегионе 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4,8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8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муниципальной службы в городе Мегионе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1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Информационное обеспечение деятельности органов местного самоуправления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0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физической культуры и спорта, укрепление общественного здоровья в городе Мегионе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4,4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отлично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3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муниципальным имуществом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4,5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2,1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удовлетворительно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6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жилищной сферы на территории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3,9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4,7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8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информационного общества на территории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4,1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отлично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6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транспортной системы города Мегиона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4,8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>
          <w:trHeight w:val="82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жилищно-коммунального комплекса и повышение энергетической эффективности в городе Мегионе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4,7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1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Мероприятия в области градостроительной деятельности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91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Формирование доступной среды для инвалидов и других маломобильных групп населения на территории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2,0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удовлетворительно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31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Профилактика правонарушений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в сфере общественного порядка,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незаконного оборота и злоупотребления наркотиками в городе Мегионе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4,5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3,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020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в городе Мегионе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4,5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6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образования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4,8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6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экологической безопасности на территории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rPr>
          <w:trHeight w:val="629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муниципального управления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отлично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5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Формирование комфортной городской среды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4,7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2,2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удовлетворительно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55"/>
        </w:trPr>
        <w:tblPrEx/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1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Молодежная политика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5,0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4,7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хорошо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</w:p>
    <w:p>
      <w:pPr>
        <w:spacing w:after="0" w:line="240" w:lineRule="auto"/>
        <w:ind w:firstLine="708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</w:p>
    <w:p>
      <w:pPr>
        <w:pStyle w:val="904"/>
        <w:spacing w:after="0" w:line="240" w:lineRule="auto"/>
        <w:ind w:firstLine="708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Исполнение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муниципальных программ сложилось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следующим образом: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1.Развитие систем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гр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ажданской защиты населения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ением администрации города от 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4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.12.20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072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4"/>
        <w:gridCol w:w="1638"/>
        <w:gridCol w:w="1310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9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7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66 843,3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66 228,8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>
          <w:trHeight w:val="26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66 843,3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66 228,8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Целью муниципальной программы является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обеспечение устойчивого социально-экономиче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ского развития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а также приемлемого уровня безопасности жизнедеятельности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необходимого уровня защищенности населени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я и территории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материальных и культурных ценностей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от опасностей, возникающих при военных конфликтах и чрезвычайных ситуациях, обеспечение эффективной деятельности МКУ «УГЗН» в установленных сферах деятельности.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текущем году совместно с ФКУ «Центр управления в кризисных ситуациях Главного управления МЧС России по Ханты-Мансийскому автономному округу – Югре» и Единой дежурно-диспетчерской службой МКУ «УГЗН» города Мегиона, было проведено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40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трениров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ок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по предупреждению и ликвидации чрезвычайных ситуаций.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Ежеквартально специалистами ЕДДС проводилось техническое обслуживание и проверка автоматизированных рабочих мест Системы – 112 и территориальной автоматизированной системы централизованного оповещения.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 которых достигнуто в полном объеме.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111"/>
        <w:gridCol w:w="992"/>
        <w:gridCol w:w="1134"/>
        <w:gridCol w:w="1418"/>
        <w:gridCol w:w="1417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63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1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Обеспечение надежности функционирования единой дежурно-диспетчерской службы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 каналами связи на уровне 100%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3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1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Количество информационно-пропагандистской печатной продукции по вопросам пожарной безопасности, распространяемой среди населения города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3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1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Обеспечение уровня выполнения мероприятий по предупреждению и ликвидации чрезвычайных ситуаций до 100%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strike w:val="0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strike w:val="0"/>
                <w:color w:val="000000" w:themeColor="text1"/>
                <w:sz w:val="20"/>
              </w:rPr>
              <w:t xml:space="preserve">%</w:t>
            </w:r>
            <w:r>
              <w:rPr>
                <w:rFonts w:ascii="Times New Roman" w:hAnsi="Times New Roman" w:eastAsia="Times New Roman"/>
                <w:strike w:val="0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strike w:val="0"/>
                <w:color w:val="000000" w:themeColor="text1"/>
                <w:sz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5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1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Поддержание временных показателей на оповещение населения на уровне не более 5 минут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 мин.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Обеспечение уровня работоспособности муниципального казенного учреждения «Управление гражданской защиты населения» до 100%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Объем налоговых расходов городского округа, реализованных посредством предоставления льготы на земельный налог МКУ «УГЗН»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2.Улучшение условий и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охраны труда в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админист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рации города от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03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 №1800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Объем б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1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2 612,0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2 596,9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>
          <w:trHeight w:val="28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2 127,6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2 126,2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>
          <w:trHeight w:val="19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484,4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470,7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97,2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Основной целью программы является обеспечение конституционных прав и гарантий работников на здоровые и безопасные условия труда.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Снижение уровней производственного травматизма и профессиональной заболеваемости ср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еди работников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рамках реализаци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 программных мероприятий в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году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проведены следующие мероприятия: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мероприятия по вопросам охраны труда;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организация и проведение специальной оценки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условий труда в муниципальных учреждениях города;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организация обучения и проверки знаний требований охраны труда руководителей            и специалистов муниципальных учреждений;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организация обучения руководителей и специалистов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муниципальных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учреждений города мерам пожарной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безопасности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7187" w:leader="none"/>
        </w:tabs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организация обучения руководителей и специалистов муниципальных учреждений города гражданской обороне и чрезвычайным ситуациям.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ожидаемое значение которых достигнуто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показателям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395"/>
        <w:gridCol w:w="708"/>
        <w:gridCol w:w="709"/>
        <w:gridCol w:w="851"/>
        <w:gridCol w:w="850"/>
        <w:gridCol w:w="1559"/>
      </w:tblGrid>
      <w:tr>
        <w:trPr>
          <w:trHeight w:val="1054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Примечание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35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организаций города Мегиона, предоставляющих ежегодную информацию о состоянии условий и охраны труда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106,5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5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специалистов по охране труда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города Мегиона, вовлеченных в работу по повышению уровня профессиональных знаний, творческой активности, новаторства посредством участия в смотре-конкурсе «Лучший специалист по охране труда города Мегиона», который организуется и проводится раз в два года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</w:tr>
      <w:tr>
        <w:trPr>
          <w:trHeight w:val="3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непрерывного повышения профессиональных знаний специалистов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посредством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участия в семинарах, совещаниях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улучшению услови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й и охраны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труда, проводимых управлением экономической политики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101,1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20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рабочих мест в муниципальных учреждениях города, на которых проведена специальная оценка условий труда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164,3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233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руководителей и специалистов муниципальных учреждений, ежегодно проходящих обучение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проверку знаний по охране труда,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мерам пожарной безопасности,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гражданской обороне и чрезвычайным ситуациям в обучающих организациях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144,1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9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оличеств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пострадавших на производстве с утратой трудоспособности на 1 рабочий день и более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5 раз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показатели «негативные», положительной динамикой которых является уменьшение их значений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отлично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».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данной программе рекомендуется обеспечить необходимый уровень финансирования за счет средств местного бюджета.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b/>
          <w:color w:val="ff0000"/>
          <w:sz w:val="24"/>
          <w:szCs w:val="24"/>
        </w:r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/>
          <w:b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3.Поддержка и развитие малого и среднего предприн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имательства на территории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утверждена постановл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ением админ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истрации города от 03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023 №1801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92"/>
        <w:gridCol w:w="1638"/>
        <w:gridCol w:w="1302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2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1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2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2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2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4 536,6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2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4 536,6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2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4 309,8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2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4 309,8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2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226,8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2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226,8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Основной ц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елью программы является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повышени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е реального роста дохода на 1 работника субъекта малого и среднего предпринимательства, устойчивое развитие агропромышленного комплекса и сельских территорий, повышение конкурентоспособности произведенной в автономном округе сельскохозяйственной продукции.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реализации муниципальной программы осуществлялась реализация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мероприятий, направленных на достижение результатов регионального проекта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Малое и среднее предпринимательство и поддержка индивидуальной предпринимательской инициативы», направленных на достижение результатов национального проекта «Эффективная и конкурентная экономика».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На ос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новании постановлений администрации города от 17.06.2025 №1036, от 27.10.2025 №1675, от 11.12.2025 №1946 «О предоставлении субсидий субъектам малого и среднего предпринимательства» заключено 18 соглашений с субъектами малого и среднего предпринимательства.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Субъекты, осуществляющие деятельность в области здравоохранения, спорта, отдыха и развлечений, гостиниц и прочих мест для временного проживания, в сфере туризма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, предоставления социальных услуг без обеспечения проживания престарелым и инвалидам, прочих услуг (ремонт часов и ювелирных изделий, химчистка, организация похорон, парикмахерские и салоны красоты) получили финансовую поддержку по следующим направлениям: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на аренду нежилых помещений;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на приобретение оборудования;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на оплату коммунальных услуг.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муниципальной программы осуществлялась по 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 которых достигнуто в полном объеме.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Достижение показателей муниципальной программы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ff0000"/>
          <w:sz w:val="20"/>
          <w:szCs w:val="20"/>
          <w:lang w:eastAsia="ru-RU"/>
        </w:rPr>
        <w:t xml:space="preserve">                           </w:t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536"/>
        <w:gridCol w:w="993"/>
        <w:gridCol w:w="992"/>
        <w:gridCol w:w="1276"/>
        <w:gridCol w:w="1275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30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Численность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занятых в сфере малого и среднего предпринимательства, включая индивидуальных предпринимателей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и самозанятых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тыс.чел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11,7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117,0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70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Оказание информационно-консультационной поддержки, в том числе через Цифровую платформу МСП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да/нет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70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Передача субъектам МСП и физическим лицам, не являющимся индивидуальными предпринимателями и применяющим специальный налоговый режим «Налог на профессиональный доход» в аренду муниципального имущества, включенного в Перечень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ab/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 результатам реализации за 2025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отлично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».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По данной программе рекомендуется обеспечить необходимый уровень финансирования за счет средств местного бюджета.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/>
          <w:b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/>
          <w:b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ff0000"/>
          <w:sz w:val="24"/>
          <w:szCs w:val="24"/>
        </w:r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/>
          <w:b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Развитие гражданского общества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на территории города Мегиона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ением ад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министрации города от 16.11.2023 №1901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6 488,7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6 443,7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/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600,0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600,0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5 888,7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5 843,7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ю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программы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является создание условий для развития институтов гражданского общества и реализации гражданских инициатив, формирование культуры открытости в системе муниципального управления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 результатам конкурса на предоставление гранта в форме субсидии финансовая поддержка предоставлена: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автономной некоммерческой организации содействия развития молодежи «До 16 и старше»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автономной некоммерческой организации «Хуторское казачье общество «Мегион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»;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автономной некоммерческой организации «Многонациональный Мегион»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автономной некоммерческой организации «Нъехэс».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11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 которых достигнуто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820"/>
        <w:gridCol w:w="850"/>
        <w:gridCol w:w="1134"/>
        <w:gridCol w:w="1134"/>
        <w:gridCol w:w="1134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кое значение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социально ориентированных некоммерческих организаций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 осуществляющих деятельность на территории города Мегиона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lef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83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мероприятий (проектов программ), реализованных социально ориентированными некоммерческими организациями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24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социально значимых проектов социально ориентированных некоммерческих организаций, получивших финансовую поддержку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101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консультаций для социально ориентированных некоммерческих организаций по организационным вопросам деятельности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99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объектов муниципального имущества, переданного в пользование социально ориентированным некоммерческим организациям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Объем информационной поддержки проектов социально ориентированных некоммерческих организаций, получивших государственную и муниципальную поддержку на оказание социально значимых услуг и реализацию социально значимых программ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spacing w:after="0" w:afterAutospacing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spacing w:after="0" w:afterAutospacing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147,4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47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изготовленных видеоматериалов и баннеров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56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форм непосредственного осуществления местного самоуправления и участия населения в осуществлении местного самоуправления и участия населения в осуществлении местного самоуправления в городе Мегионе и случаев их применения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128,0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Сохранение доли граждан, воспользовавшихся мерами социальной поддержки, от числа граждан, имеющих право на их получение и об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ратившихся за их получением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56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граждан, награжденных знаком отличия «Доброволец Мегиона»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чел.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561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мероприятий для социально ориентированных некоммерческих организаций, осуществляющих деятельность в городе Мегионе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jc w:val="lef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5.Управление муниципальными финансами 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в 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админист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рации города от 26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0.2023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1736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4"/>
        <w:gridCol w:w="1638"/>
        <w:gridCol w:w="1310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9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45 130,1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44 496,3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98,6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345,6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345,6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44 784,5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44 150,7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98,6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Целью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обеспечение долгосрочной сбалансированности и устойчивости бюджета города Мегиона, повышение качества управления муниципальными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  <w:t xml:space="preserve">финансами города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  <w:t xml:space="preserve">Мегиона.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  <w:t xml:space="preserve">В рамках реализации муниципальной программы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  <w:t xml:space="preserve">проводились следующие мероприятия: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  <w:t xml:space="preserve">мониторинг полноты и своевременности поступления налогов, сборов и других обязательных платежей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мониторинг налоговых расходов по земельному налогу и налогу на имущество физических лиц;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  <w:t xml:space="preserve">совместное межведомственное взаимодействие между Управлением Федерального казначейства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Ханты-Мансийскому автономному округу – Югре, Межрайонной инспекцией Федеральной налоговой службы России №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11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по Ханты-Мансийскому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автономному округу – Югре и другими главными администраторами доходов в части обмена оперативной информацией по платежам в бюджете города, с целью снижения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невыясненных платежей;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работа по с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окращению невыясненных платежей;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взаимодействие администрации города с крупнейшим налогоплательщиком, осуществляющим свою деятельность на территор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ии города;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ля осуществления мер, направленных на ликвидацию задолженности организаций и физических лиц, на территории муниципального образования осуществляла работу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комиссия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по моби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лизации доходов в бюджет города;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рово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дилась разъяснительная работа 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целесообразности своевременной уплаты налогов и налоговых платежей, работа со списками должников, работниками администрации города, органов администрации города, бюджетных казенных и автономных учреждений города на предмет задолженности по уплате налогов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 сборов во все уровни бюджетов.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Оценка эффективности реализации муниципально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й программы осуществлялась по 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 показателям,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ожидаемое значение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которых достигнуто в полном объеме.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3828"/>
        <w:gridCol w:w="992"/>
        <w:gridCol w:w="850"/>
        <w:gridCol w:w="851"/>
        <w:gridCol w:w="992"/>
        <w:gridCol w:w="1559"/>
      </w:tblGrid>
      <w:tr>
        <w:trPr>
          <w:trHeight w:val="741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Примечание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135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Исполнение плана по налоговым и неналоговым доходам, утвержденного реше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нием о бюджете города Мегиона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u w:val="single"/>
              </w:rPr>
              <w:t xml:space="preserve">&gt;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95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102,5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107,9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</w:tr>
      <w:tr>
        <w:trPr>
          <w:trHeight w:val="182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Исполнение расходных обязательств за отчетный финансовый год от бюджетных ассигнований, утвержденных решением о бюджете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города Мегиона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u w:val="single"/>
              </w:rPr>
              <w:t xml:space="preserve">&gt;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95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96,2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101,3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</w:tr>
      <w:tr>
        <w:trPr>
          <w:trHeight w:val="184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Доля бюджетных ассигнований предусмотренных в бюджете города Мегиона в рамках муниципальных программ, в общих расходах бюджета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u w:val="single"/>
              </w:rPr>
              <w:t xml:space="preserve">&gt;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98,2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98,9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100,7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</w:tr>
      <w:tr>
        <w:trPr>
          <w:trHeight w:val="54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Отношение объема муниципального долга к общему объему доходов бюджета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города Мегиона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(без учета объемов безвозмездных поступлений)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  ≤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30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16,7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179,6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 «негативный», положительной динамикой которого является уменьшение его значения</w:t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</w:tr>
      <w:tr>
        <w:trPr>
          <w:trHeight w:val="9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Доля муниципальных учреждений, обеспеченных возможностью доступа к государственной интегрированной информационной системе управления общественными финансами «Электронный бюджет»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отлично». По данной программе рекомендуется обеспечить необходимый уровень финансирования за счет средств местного бюджета.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0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6.Культурное пространство в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администрации г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орода от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28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.12.20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На момент п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роведения оценки эффективности муниципальная программа не приведена в соответст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вие с решениям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и Думы города Мегиона от 12.12.2025 №42 «О бюджете городского округа Мегион Ханты-Мансийского автономного округа – Югры на 2026 год и плановый период 2027 и 2028 годов», от 25.12.2025 №43 «О внесении изменений в решение Думы города Мегиона от 09.12.2024 №4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27 «О бюджете городского округа Мегион Ханты-Мансийского автономного округа – Югры на 2025 год и плановый период 2026 и 2027 годов» (см изменениями). Оценка эффективности муниципальной программы  пр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оведена на основании годового отчета управления культуры администрации города.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0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723 133,7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711 121,7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98,3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8 447,2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8 447,2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15 667,2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15 644,7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99,9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699 019,3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687 029,8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98,3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Основными целями программы являются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 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крепление единого культурного пространства, создание комфортных условий и равных возможностей для самореализации и раскрытия таланта, креатива каждого жителя города Мегиона, доступа населения к культурным ценностям, цифровым ресурсам в сфере культуры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000000" w:themeColor="text1"/>
          <w:sz w:val="24"/>
          <w:szCs w:val="24"/>
        </w:rPr>
      </w:pP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Реализация муниципальной программы осуществляется в значимых сферах социально-экономического развития города Мегиона: культура и искусство, историко-культурное наследие, государственная национальная политика.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000000" w:themeColor="text1"/>
          <w:sz w:val="24"/>
          <w:szCs w:val="24"/>
        </w:rPr>
      </w:pP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В программе нашли отражение приоритеты развития культ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урного комплекса города Мегиона, среди которых мероприятия как по основным направлениям отрасли (библиот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ечное и музейное дело, кинематография, образование в сфере культуры, народное 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творчество и традиционная культура, художественные промыслы и ремесла, профессиональное искусство, сохранение и популяризация историко-культурного наследия), 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так и развитие негос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ударственного сектора (поддержка некоммерческих и общественных ор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ганизаций в сфере культуры).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 Внимание уделено также вопросам развития материально-технической базы (приобретение современного оборудования, капи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таль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ный и текущий 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ремонты зданий и сооружений).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000000" w:themeColor="text1"/>
          <w:sz w:val="24"/>
          <w:szCs w:val="24"/>
        </w:rPr>
      </w:pP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В рамках муниципальной программы были реализованы следующие комплексы процессных мероприятий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: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</w:p>
    <w:p>
      <w:pPr>
        <w:spacing w:after="0" w:line="240" w:lineRule="auto"/>
        <w:ind w:firstLine="708"/>
        <w:jc w:val="both"/>
        <w:rPr>
          <w:rFonts w:ascii="Times New Roman" w:hAnsi="Times New Roman" w:eastAsia="Calibri Light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Calibri Light"/>
          <w:color w:val="000000" w:themeColor="text1"/>
          <w:sz w:val="24"/>
          <w:szCs w:val="24"/>
          <w:highlight w:val="none"/>
        </w:rPr>
        <w:t xml:space="preserve">региональный проект «Сохранение культурного и исторического наследия»;</w:t>
      </w:r>
      <w:r>
        <w:rPr>
          <w:rFonts w:ascii="Times New Roman" w:hAnsi="Times New Roman" w:eastAsia="Calibri Light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Calibri Light"/>
          <w:color w:val="000000" w:themeColor="text1"/>
          <w:sz w:val="24"/>
          <w:szCs w:val="24"/>
          <w:highlight w:val="none"/>
        </w:rPr>
      </w:r>
    </w:p>
    <w:p>
      <w:pPr>
        <w:spacing w:after="0" w:line="240" w:lineRule="auto"/>
        <w:ind w:firstLine="708"/>
        <w:jc w:val="both"/>
        <w:rPr>
          <w:rFonts w:ascii="Times New Roman" w:hAnsi="Times New Roman" w:eastAsia="Calibri Light"/>
          <w:color w:val="000000" w:themeColor="text1"/>
          <w:sz w:val="24"/>
          <w:szCs w:val="24"/>
        </w:rPr>
      </w:pPr>
      <w:r>
        <w:rPr>
          <w:rFonts w:ascii="Times New Roman" w:hAnsi="Times New Roman" w:eastAsia="Calibri Light"/>
          <w:color w:val="000000" w:themeColor="text1"/>
          <w:sz w:val="24"/>
          <w:szCs w:val="24"/>
          <w:highlight w:val="none"/>
        </w:rPr>
        <w:t xml:space="preserve">региональный проект «Развитие искусства и творчества»;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000000" w:themeColor="text1"/>
          <w:sz w:val="24"/>
          <w:szCs w:val="24"/>
        </w:rPr>
      </w:pP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развитие библиотечного дела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 Light"/>
          <w:color w:val="auto"/>
          <w:sz w:val="24"/>
          <w:szCs w:val="24"/>
        </w:rPr>
        <w:t xml:space="preserve">о</w:t>
      </w:r>
      <w:r>
        <w:rPr>
          <w:rFonts w:ascii="Times New Roman" w:hAnsi="Times New Roman" w:eastAsia="Calibri Light"/>
          <w:color w:val="auto"/>
          <w:sz w:val="24"/>
          <w:szCs w:val="24"/>
        </w:rPr>
        <w:t xml:space="preserve">беспечение комплексной безопасности учреждений культуры и дополнительно</w:t>
      </w:r>
      <w:r>
        <w:rPr>
          <w:rFonts w:ascii="Times New Roman" w:hAnsi="Times New Roman" w:eastAsia="Calibri Light"/>
          <w:color w:val="auto"/>
          <w:sz w:val="24"/>
          <w:szCs w:val="24"/>
        </w:rPr>
        <w:t xml:space="preserve">го образования в сфере культуры</w:t>
      </w:r>
      <w:r>
        <w:rPr>
          <w:rFonts w:ascii="Times New Roman" w:hAnsi="Times New Roman" w:eastAsia="Calibri Light"/>
          <w:color w:val="auto"/>
          <w:sz w:val="24"/>
          <w:szCs w:val="24"/>
        </w:rPr>
        <w:t xml:space="preserve">;</w:t>
      </w:r>
      <w:r>
        <w:rPr>
          <w:rFonts w:ascii="Times New Roman" w:hAnsi="Times New Roman" w:eastAsia="Calibri Light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 Light"/>
          <w:color w:val="auto"/>
          <w:sz w:val="24"/>
          <w:szCs w:val="24"/>
          <w:highlight w:val="none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auto"/>
          <w:sz w:val="24"/>
          <w:szCs w:val="24"/>
        </w:rPr>
      </w:pPr>
      <w:r>
        <w:rPr>
          <w:rFonts w:ascii="Times New Roman" w:hAnsi="Times New Roman" w:eastAsia="Calibri Light"/>
          <w:color w:val="auto"/>
          <w:sz w:val="24"/>
          <w:szCs w:val="24"/>
        </w:rPr>
        <w:t xml:space="preserve">п</w:t>
      </w:r>
      <w:r>
        <w:rPr>
          <w:rFonts w:ascii="Times New Roman" w:hAnsi="Times New Roman" w:eastAsia="Calibri Light"/>
          <w:color w:val="auto"/>
          <w:sz w:val="24"/>
          <w:szCs w:val="24"/>
        </w:rPr>
        <w:t xml:space="preserve">оддержка одаренных детей и молодежи, развитие художественного образования;</w:t>
      </w:r>
      <w:r>
        <w:rPr>
          <w:rFonts w:ascii="Times New Roman" w:hAnsi="Times New Roman" w:eastAsia="Calibri Light"/>
          <w:color w:val="auto"/>
          <w:sz w:val="24"/>
          <w:szCs w:val="24"/>
        </w:rPr>
      </w:r>
      <w:r>
        <w:rPr>
          <w:rFonts w:ascii="Times New Roman" w:hAnsi="Times New Roman" w:eastAsia="Calibri Light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auto"/>
          <w:sz w:val="24"/>
          <w:szCs w:val="24"/>
        </w:rPr>
      </w:pPr>
      <w:r>
        <w:rPr>
          <w:rFonts w:ascii="Times New Roman" w:hAnsi="Times New Roman" w:eastAsia="Calibri Light"/>
          <w:color w:val="auto"/>
          <w:sz w:val="24"/>
          <w:szCs w:val="24"/>
        </w:rPr>
        <w:t xml:space="preserve">р</w:t>
      </w:r>
      <w:r>
        <w:rPr>
          <w:rFonts w:ascii="Times New Roman" w:hAnsi="Times New Roman" w:eastAsia="Calibri Light"/>
          <w:color w:val="auto"/>
          <w:sz w:val="24"/>
          <w:szCs w:val="24"/>
        </w:rPr>
        <w:t xml:space="preserve">азвитие профессионального искусства;</w:t>
      </w:r>
      <w:r>
        <w:rPr>
          <w:rFonts w:ascii="Times New Roman" w:hAnsi="Times New Roman" w:eastAsia="Calibri Light"/>
          <w:color w:val="auto"/>
          <w:sz w:val="24"/>
          <w:szCs w:val="24"/>
        </w:rPr>
      </w:r>
      <w:r>
        <w:rPr>
          <w:rFonts w:ascii="Times New Roman" w:hAnsi="Times New Roman" w:eastAsia="Calibri Light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auto"/>
          <w:sz w:val="24"/>
          <w:szCs w:val="24"/>
        </w:rPr>
      </w:pPr>
      <w:r>
        <w:rPr>
          <w:rFonts w:ascii="Times New Roman" w:hAnsi="Times New Roman" w:eastAsia="Calibri Light"/>
          <w:color w:val="auto"/>
          <w:sz w:val="24"/>
          <w:szCs w:val="24"/>
        </w:rPr>
        <w:t xml:space="preserve">с</w:t>
      </w:r>
      <w:r>
        <w:rPr>
          <w:rFonts w:ascii="Times New Roman" w:hAnsi="Times New Roman" w:eastAsia="Calibri Light"/>
          <w:color w:val="auto"/>
          <w:sz w:val="24"/>
          <w:szCs w:val="24"/>
        </w:rPr>
        <w:t xml:space="preserve">тимулирование культурного разнообразия в городе Мегионе</w:t>
      </w:r>
      <w:r>
        <w:rPr>
          <w:rFonts w:ascii="Times New Roman" w:hAnsi="Times New Roman" w:eastAsia="Calibri Light"/>
          <w:color w:val="auto"/>
          <w:sz w:val="24"/>
          <w:szCs w:val="24"/>
        </w:rPr>
        <w:t xml:space="preserve">;</w:t>
      </w:r>
      <w:r>
        <w:rPr>
          <w:rFonts w:ascii="Times New Roman" w:hAnsi="Times New Roman" w:eastAsia="Calibri Light"/>
          <w:color w:val="auto"/>
          <w:sz w:val="24"/>
          <w:szCs w:val="24"/>
        </w:rPr>
      </w:r>
      <w:r>
        <w:rPr>
          <w:rFonts w:ascii="Times New Roman" w:hAnsi="Times New Roman" w:eastAsia="Calibri Light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Calibri Light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 Light"/>
          <w:color w:val="auto"/>
          <w:sz w:val="24"/>
          <w:szCs w:val="24"/>
        </w:rPr>
        <w:t xml:space="preserve">р</w:t>
      </w:r>
      <w:r>
        <w:rPr>
          <w:rFonts w:ascii="Times New Roman" w:hAnsi="Times New Roman" w:eastAsia="Calibri Light"/>
          <w:color w:val="auto"/>
          <w:sz w:val="24"/>
          <w:szCs w:val="24"/>
        </w:rPr>
        <w:t xml:space="preserve">еализация единой государственной политики в сфере культуры.</w:t>
      </w:r>
      <w:r>
        <w:rPr>
          <w:rFonts w:ascii="Times New Roman" w:hAnsi="Times New Roman" w:eastAsia="Calibri Light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 Light"/>
          <w:color w:val="auto"/>
          <w:sz w:val="24"/>
          <w:szCs w:val="24"/>
          <w:highlight w:val="none"/>
        </w:rPr>
      </w:r>
    </w:p>
    <w:p>
      <w:pPr>
        <w:pStyle w:val="904"/>
        <w:spacing w:before="20"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В рамках реализации муниципальной программы осуществляется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реализация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мероприятий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 направленных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на исполнение региона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льного проекта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«Семейные ценности и инфраструктура культуры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 а также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на достижение результатов национального проекта «Семья»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pStyle w:val="904"/>
        <w:spacing w:before="20" w:after="0" w:line="240" w:lineRule="auto"/>
        <w:ind w:firstLine="708"/>
        <w:contextualSpacing/>
        <w:jc w:val="both"/>
        <w:rPr>
          <w:rFonts w:ascii="Times New Roman" w:hAnsi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Для города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Меги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он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декомпозирован 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показатель: 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«Число посещений культурных мероприятий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.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Показатель исполнен.</w:t>
      </w:r>
      <w:r>
        <w:rPr>
          <w:rFonts w:ascii="Times New Roman" w:hAnsi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/>
          <w:color w:val="auto"/>
          <w:sz w:val="24"/>
          <w:szCs w:val="24"/>
          <w:highlight w:val="whit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й программы осуществлялась по 11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ожидаемое значение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которых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достигнуто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tbl>
      <w:tblPr>
        <w:tblW w:w="965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530"/>
        <w:gridCol w:w="1134"/>
        <w:gridCol w:w="1134"/>
        <w:gridCol w:w="993"/>
        <w:gridCol w:w="1281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53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47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Число посещений культурных мероприятий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507,0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508,7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0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shd w:val="clear" w:color="auto" w:fill="ffffff"/>
            <w:noWrap w:val="false"/>
            <w:textDirection w:val="lrTb"/>
            <w:vAlign w:val="top"/>
          </w:tcPr>
          <w:p>
            <w:pPr>
              <w:pStyle w:val="958"/>
              <w:jc w:val="both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Оцифровка музейных предметов, представленных в сети Интернет, от общего числа музейных предметов основно</w:t>
            </w:r>
            <w:r>
              <w:rPr>
                <w:b w:val="0"/>
                <w:color w:val="000000" w:themeColor="text1"/>
                <w:sz w:val="24"/>
                <w:szCs w:val="24"/>
              </w:rPr>
              <w:t xml:space="preserve">го фонда музея</w:t>
            </w:r>
            <w:r>
              <w:rPr>
                <w:b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125,0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11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14 896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14 980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0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учреждений культуры, получивших современное оборудование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(нарастающим итогом)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12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переоснащенных муниципальных библиотек по модельному стандарту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12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удовлетворенности населения услугами в сфере культуры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101,2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12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Число обращений к цифровым ресурсам в сфере культуры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 ед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105,8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12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реализованных при государственной поддержке творческих инициатив и проектов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12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зданий учреждений культуры, находящихся в удовлетворительном состоянии, в общем количестве зданий данных учреждений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85,0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12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обеспеченности организациями культуры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учреждений воспользовавшихся налоговой льготой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ab/>
        <w:t xml:space="preserve">Ответственному исполнителю рекомендуется обеспечивать своевременное внесение изменений в муниципальную программу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основании пункта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>
        <w:rPr>
          <w:rFonts w:ascii="Times New Roman" w:hAnsi="Times New Roman" w:eastAsia="Calibri Light" w:cs="Times New Roman"/>
          <w:color w:val="000000" w:themeColor="text1"/>
          <w:sz w:val="24"/>
          <w:szCs w:val="24"/>
        </w:rPr>
        <w:t xml:space="preserve"> Порядка принятия решения о разработке муниципальных программ города Мегиона, их формирования, утверждения и реализации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утвержденного постановлением администрации города от 21.06.2024 №1287 «О порядке разработки и реализации муниципальных программ города Мегиона» (с изменениями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).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7.Развитие муниципальной службы 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в 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утверждена постановлением администрации города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.20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1933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(с изменениями)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4"/>
        <w:gridCol w:w="1638"/>
        <w:gridCol w:w="1310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9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Объем бюджетных асси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350,0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350,0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350,0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350,0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Основной целью программы является формирование высококвалифицированного кадрового состава муниципальной службы, обеспечивающего эффективность муниципального управления в городе Мегионе.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рамках реализации комплекса процессных мероприятий «Повышение уровня профессиональной компетенции муниципальных служащих»  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повышение квалификации прошли 35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муниципальны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х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лужащи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х и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1 муниципальный служащий, включенный в кадровый резерв администрации города.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 программы осуществлялась по 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 которых достигнуто в полном объеме.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tbl>
      <w:tblPr>
        <w:tblW w:w="9654" w:type="dxa"/>
        <w:tblInd w:w="9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395"/>
        <w:gridCol w:w="992"/>
        <w:gridCol w:w="1228"/>
        <w:gridCol w:w="1228"/>
        <w:gridCol w:w="1229"/>
      </w:tblGrid>
      <w:tr>
        <w:trPr>
          <w:trHeight w:val="765"/>
          <w:tblHeader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9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643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муниципальных служащих, повысивших квал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ификацию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116,7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43"/>
        </w:trPr>
        <w:tblPrEx/>
        <w:tc>
          <w:tcPr>
            <w:tcW w:w="5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муниципальных служащих повысивших квалификацию, включенных в кадровый резерв администрации города, от общего числа служащих, включенных в кадровый резерв администрации города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8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муниципальных служащих администрации города Мегиона, соблюдающих ограничения и запреты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9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отлично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».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данной программе рекомендуется обеспечить необходимый уровень финансирования за счет средств местного бюджета.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8.Информационное обеспечение деятельности органо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в местного самоуправления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утверждена постановлением админист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рации города от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.20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1897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(с изменениями)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4"/>
        <w:gridCol w:w="1638"/>
        <w:gridCol w:w="1310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9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36 768,3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36 074,5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98,1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36 768,3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36 074,5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98,1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Основными целями программы являются функционирование системы производства и доведения до населения го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рода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информации о деятельности органов местного самоуправления, иной социально-значимой информации, способствующей сохранению социальной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стабильности в городе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эффективному взаимодействию органов местного самоуправления и населения, социально-экономическому развитию муниципального образования.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Основными каналами распространения информации о деятельности органов местного самоуправления города в 2025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году были: официальный сайт администрации города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instrText xml:space="preserve"> </w:instrText>
      </w:r>
      <w:r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instrText xml:space="preserve">HYPERLINK</w:instrTex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instrText xml:space="preserve"> "</w:instrText>
      </w:r>
      <w:r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instrText xml:space="preserve">http</w:instrTex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instrText xml:space="preserve">://</w:instrText>
      </w:r>
      <w:r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instrText xml:space="preserve">www</w:instrTex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instrText xml:space="preserve">.</w:instrText>
      </w:r>
      <w:r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instrText xml:space="preserve">admmegion</w:instrTex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instrText xml:space="preserve">.</w:instrText>
      </w:r>
      <w:r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instrText xml:space="preserve">ru</w:instrTex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instrText xml:space="preserve">" </w:instrText>
      </w:r>
      <w:r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fldChar w:fldCharType="separate"/>
      </w:r>
      <w:r>
        <w:rPr>
          <w:rStyle w:val="926"/>
          <w:rFonts w:ascii="Times New Roman" w:hAnsi="Times New Roman"/>
          <w:color w:val="000000" w:themeColor="text1"/>
          <w:sz w:val="24"/>
          <w:szCs w:val="24"/>
          <w:u w:val="none"/>
          <w:lang w:val="en-US" w:eastAsia="ru-RU"/>
        </w:rPr>
        <w:t xml:space="preserve">www</w:t>
      </w:r>
      <w:r>
        <w:rPr>
          <w:rStyle w:val="926"/>
          <w:rFonts w:ascii="Times New Roman" w:hAnsi="Times New Roman"/>
          <w:color w:val="000000" w:themeColor="text1"/>
          <w:sz w:val="24"/>
          <w:szCs w:val="24"/>
          <w:u w:val="none"/>
          <w:lang w:eastAsia="ru-RU"/>
        </w:rPr>
        <w:t xml:space="preserve">.</w:t>
      </w:r>
      <w:r>
        <w:rPr>
          <w:rStyle w:val="926"/>
          <w:rFonts w:ascii="Times New Roman" w:hAnsi="Times New Roman"/>
          <w:color w:val="000000" w:themeColor="text1"/>
          <w:sz w:val="24"/>
          <w:szCs w:val="24"/>
          <w:u w:val="none"/>
          <w:lang w:val="en-US" w:eastAsia="ru-RU"/>
        </w:rPr>
        <w:t xml:space="preserve">admmegion</w:t>
      </w:r>
      <w:r>
        <w:rPr>
          <w:rStyle w:val="926"/>
          <w:rFonts w:ascii="Times New Roman" w:hAnsi="Times New Roman"/>
          <w:color w:val="000000" w:themeColor="text1"/>
          <w:sz w:val="24"/>
          <w:szCs w:val="24"/>
          <w:u w:val="none"/>
          <w:lang w:eastAsia="ru-RU"/>
        </w:rPr>
        <w:t xml:space="preserve">.</w:t>
      </w:r>
      <w:r>
        <w:rPr>
          <w:rStyle w:val="926"/>
          <w:rFonts w:ascii="Times New Roman" w:hAnsi="Times New Roman"/>
          <w:color w:val="000000" w:themeColor="text1"/>
          <w:sz w:val="24"/>
          <w:szCs w:val="24"/>
          <w:u w:val="none"/>
          <w:lang w:val="en-US" w:eastAsia="ru-RU"/>
        </w:rPr>
        <w:t xml:space="preserve">ru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fldChar w:fldCharType="end"/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медиа-ресурсы муниципального автономного учреждения «Информационное агентство «Мегионские новости», телекомпания «Акцент» и «Эфир-Медиа», радиостанции «Р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усское ради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о», «Дорожное радио».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 начала года управлением общественных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связей администрация города заключено 16 муниципальных контрактов на оказание услуг по производству и размещению материалов о деятельности органов местного самоуправления и иной социально-значимой информации в сети кабельного и эфирного телевидения, в эфи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ре местных радиостанций, в электронном региональном средстве массовой информации. Заключены контракты на изготовление полиграфической продукции, трансляцию информационных материалов администрации города для жителей пгт.Высокий.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Систематически проводилась онлайн-трансляция программ «Прямой эфир» и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запись программы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«Актуальное интервью» в сети кабельного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телевидения на территории городского округа в рамках муниципальных контрактов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Оценка эффективности реализации муниципальн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ой программы осуществлялась по 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показ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ателям, ожидаемое значение кото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ых достигнуто в полном объеме.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253"/>
        <w:gridCol w:w="992"/>
        <w:gridCol w:w="1134"/>
        <w:gridCol w:w="1418"/>
        <w:gridCol w:w="1275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129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709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Удовлетворенность населения качеством информирования о деятельности органов местного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самоуправления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(процент от числа опрошенных)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79,6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79,7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709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Общий объем произведенных и размещенных материалов о деятельности органов местного самоуправления и иной социально-значимой информации в электронных средствах массовой информации (ТВ, радио)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777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111,0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0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709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информационных материалов в газете «Мегионские новости»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полоса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757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0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25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709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Производство и распространение телепрограмм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час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0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25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709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Производство и выпуск сетевого издания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мегабайт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19 000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19 312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101,6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«отлично».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 данной программе рекомендуется обеспечить необходимый уровень финансирования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за счет средств местного бюджета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9.Развитие физической ку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льтуры и спорта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, укрепление общественного 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здоровья в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утверждена постановл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ением администрации города от 03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.20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1820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(с изменениями)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435 893,7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432 588,8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33 885,4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33 885,4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402 008,3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398 703,4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Основной ц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елью программы является создание усл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овий населению городского округа 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для регулярных занятий физической культурой и спортом, 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развитие спортивной инфраструктуры, о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беспечение подготовки спортивного резерва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, повышение качества оказания услуг в сфере физической культуры и спорта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, улучшение здоровья населения, формирование культуры общественного здоровья, ответственного отношения к здоровью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В рамках муниципальной программы были реализованы следующие комплексы процессных мероприятий: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реализация Всероссийского физкультурно-спортивного комплекса «Готов к труду и обороне»;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проведение муниципальных С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партакиад, физкультурно-массовых мероприятий, спортивных мероприятий, первенств и чемпионатов по видам спорта;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мероприятия по обеспечению комплексной безопасности и комфортных условий в муниципальных спортивных учреждениях. Ремонтные р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аботы спортивных объектов и сооружений;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создание условий для удовлетворения потребности населения города в оказании услуг в сфере физической культуры и спорта;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финансовое обеспечение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 для детей» в соответствии с социальным сертификатом на получение муниципальной услуги в социальной сфере города Мегиона;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спорта;</w:t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  <w:t xml:space="preserve">реализация мероприятий по приобретению спортивного оборудования и инвентаря;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развитие сети спортивных объектов шаговой доступности;</w:t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муниципальная поддержка некоммерчес</w:t>
      </w: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ких организаций (за исключением государственных (муниципальных учреждений)».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before="20" w:after="0" w:line="240" w:lineRule="auto"/>
        <w:ind w:firstLine="708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Для города</w:t>
      </w:r>
      <w:r>
        <w:rPr>
          <w:rFonts w:ascii="Times New Roman" w:hAnsi="Times New Roman"/>
          <w:color w:val="auto"/>
          <w:sz w:val="24"/>
          <w:szCs w:val="24"/>
        </w:rPr>
        <w:t xml:space="preserve"> Мегион</w:t>
      </w:r>
      <w:r>
        <w:rPr>
          <w:rFonts w:ascii="Times New Roman" w:hAnsi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color w:val="auto"/>
          <w:sz w:val="24"/>
          <w:szCs w:val="24"/>
        </w:rPr>
        <w:t xml:space="preserve"> декомпозированы следующие </w:t>
      </w:r>
      <w:r>
        <w:rPr>
          <w:rFonts w:ascii="Times New Roman" w:hAnsi="Times New Roman"/>
          <w:color w:val="auto"/>
          <w:sz w:val="24"/>
          <w:szCs w:val="24"/>
        </w:rPr>
        <w:t xml:space="preserve">показатели: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spacing w:before="20" w:after="0" w:line="240" w:lineRule="auto"/>
        <w:ind w:firstLine="708"/>
        <w:contextualSpacing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/>
          <w:color w:val="auto"/>
          <w:sz w:val="24"/>
          <w:szCs w:val="24"/>
        </w:rPr>
        <w:t xml:space="preserve">Уровень обеспеченности населения спортивными сооружениями исходя из единовременной пропускной способности объектов спорта»</w:t>
      </w:r>
      <w:r>
        <w:rPr>
          <w:rFonts w:ascii="Times New Roman" w:hAnsi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spacing w:before="20" w:after="0" w:line="240" w:lineRule="auto"/>
        <w:ind w:firstLine="708"/>
        <w:contextualSpacing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  <w:t xml:space="preserve">«Доля граждан, систематически занимающихся физической культурой и спортом».</w:t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spacing w:before="20" w:after="0" w:line="240" w:lineRule="auto"/>
        <w:ind w:firstLine="708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  <w:t xml:space="preserve">Показатели достигнуты.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spacing w:after="0" w:line="240" w:lineRule="atLeast"/>
        <w:ind w:right="-2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реализации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муниципальн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 программы осуществлялась по 13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которых достигнуто в полном объеме.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tLeast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678"/>
        <w:gridCol w:w="992"/>
        <w:gridCol w:w="1134"/>
        <w:gridCol w:w="1134"/>
        <w:gridCol w:w="1134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67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46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8" w:type="dxa"/>
            <w:noWrap w:val="false"/>
            <w:textDirection w:val="lrTb"/>
            <w:vAlign w:val="center"/>
          </w:tcPr>
          <w:p>
            <w:pPr>
              <w:pStyle w:val="904"/>
              <w:spacing w:after="0" w:line="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граждан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систематически занимающ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ихся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физической культурой и спортом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6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75,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75,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63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  <w:t xml:space="preserve">Количество учреждений, воспользовавшихся налоговой льготой</w:t>
            </w: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4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  <w:t xml:space="preserve">Численность населения, принявшего участие в сдаче </w:t>
            </w: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  <w:t xml:space="preserve">норматив</w:t>
            </w: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  <w:t xml:space="preserve">ов</w:t>
            </w: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  <w:t xml:space="preserve"> Всероссийского физкультурно-спортивного комплекса «Готов к труду и </w:t>
            </w:r>
            <w:r>
              <w:rPr>
                <w:rFonts w:ascii="Times New Roman" w:hAnsi="Times New Roman" w:eastAsia="Times New Roman" w:cs="Calibri"/>
                <w:color w:val="000000" w:themeColor="text1"/>
                <w:sz w:val="24"/>
                <w:szCs w:val="24"/>
                <w:lang w:eastAsia="ru-RU"/>
              </w:rPr>
              <w:t xml:space="preserve">обороне» (ГТО)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1 024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1 024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5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4678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Проведение спортивно-массовых мероприятий, первенств и чемпионатов по видам спорта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  <w:t xml:space="preserve">90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75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4678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Присвоение спортивных разрядов и квалификационных категорий спортивных судей</w:t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ff0000" w:themeColor="text1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  <w:t xml:space="preserve">840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840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75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4678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Доля занимающихся по программам спортивной подготовки, в общем количестве занимающихся в муниципальных учреждениях сферы физической культуры и спорта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  <w:t xml:space="preserve">68,3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68,3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32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4678" w:type="dxa"/>
            <w:noWrap w:val="false"/>
            <w:textDirection w:val="lrTb"/>
            <w:vAlign w:val="center"/>
          </w:tcPr>
          <w:p>
            <w:pPr>
              <w:pStyle w:val="94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4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5,5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5,5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53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4678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Количество получателей услуг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и работ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в муниципальных учреждениях сферы физической культуры и спорта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3 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040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 040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3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467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Количество получателей услуг в муниципальных учреждениях сферы физической культуры и спорта по программе «Реализация дополнительных  общеразвивающих программ для детей» в соответствии с муниципальным социальным заказом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550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550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rPr>
          <w:trHeight w:val="30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мероприятий (проектов, программ), реализованных социально ориентированными некоммерческими организациями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0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ол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граждан, прин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явших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участие в мероприятиях, мотивирующих к ведению здорового образа жизни в общей доле населения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21,0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4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оличест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во публикаций,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информационных сообщений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, размещенных постов, видеороликов, сюжетов и др.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средствах массовой информации 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сети Интернет по профилактике заболеваний и формированию здорового образа жизни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, пропаганде и популяризации физической культуры и спорта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560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560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«отлично». По данной программе рекомендуется обеспечить необходимый уровень финансирования за счет средств местного бюджета.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ff0000"/>
          <w:sz w:val="24"/>
          <w:szCs w:val="24"/>
        </w:r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/>
          <w:b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10.Управ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ление муниципальным имуществом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администрации города от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30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 №1980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4"/>
        <w:gridCol w:w="1638"/>
        <w:gridCol w:w="1310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9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Объем бюджетных ассигнований на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3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36 890,8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30 816,4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83,5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36 890,8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30 816,4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83,5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цел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ью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программы является осуществление эффективного управления муниципальной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собственностью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защита имуществен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ных интересов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город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 муниципальной программы были реализованы следующие комплексы процессных мероприятий: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обеспечение выполнения полномочий и функций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администрации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города 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сферах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управления муниципальным имуществом и землепользования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капитальный ремонт, реконструкция и ремонт муниципального имущества 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ожидаемое значение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которых достигнуто в полном объеме по 3 показателям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spacing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Причина низкого исполнения по финансированию и исполнению показателя «</w:t>
      </w:r>
      <w:r>
        <w:rPr>
          <w:rFonts w:ascii="Times New Roman" w:hAnsi="Times New Roman"/>
          <w:color w:val="000000" w:themeColor="text1"/>
          <w:sz w:val="24"/>
        </w:rPr>
        <w:t xml:space="preserve">Обеспечение проведения ремонта в отношении муниципального имущества»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-  непогашенная кредиторская задолженность по заключенным контрактам.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395"/>
        <w:gridCol w:w="992"/>
        <w:gridCol w:w="1228"/>
        <w:gridCol w:w="1228"/>
        <w:gridCol w:w="1229"/>
      </w:tblGrid>
      <w:tr>
        <w:trPr>
          <w:trHeight w:val="437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104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Право муниципальной собственности зарегистрированного в Едином государственном реестре прав на недвижимое имущество и сделок с ним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штука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36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42 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22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116,7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</w:tr>
      <w:tr>
        <w:trPr>
          <w:trHeight w:val="80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Количество поставленных на государственный кадастровый учет земельных участков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штука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20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37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22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в 1,9 раза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</w:tr>
      <w:tr>
        <w:trPr>
          <w:trHeight w:val="38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Обеспечение проведения ремонта в отношении муниципального имущества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90,7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22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90,7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</w:tr>
      <w:tr>
        <w:trPr>
          <w:trHeight w:val="38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Доля муниципальных учреждений, воспользовавшихся льготой, от числа муниципальных учреждений имеющих право на ее получение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2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tcW w:w="122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ная программа признана эффективной, присвоена оценка «удовлетворительно». По данной программе рекомендуется сохранить уровень финансирования муниципальной программы  за счет средств местного бюджета в очередном финансовом году при условии ее корректировки.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1.Развитие жилищной с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феры на территории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город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админист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рации города от 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.12.20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182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505"/>
        <w:gridCol w:w="1438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505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5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1 064 369,2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4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1 049 959,7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98,6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5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3 218,4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4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2 218,4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68,9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5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971 976,8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4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694 933,4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5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89 174,0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4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82 807,9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92,9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Основной целью муниципальной программы является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создание условий для развития жилищного строительства и обеспечения жильем отдельных категорий граждан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Муниципальная программа направлена на достижение показателей по обеспеченности населения благоустроенным жильем, сокращению аварийного и непригодного для проживания жилищного фонда.</w:t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widowControl w:val="off"/>
        <w:tabs>
          <w:tab w:val="left" w:pos="440" w:leader="none"/>
          <w:tab w:val="left" w:pos="660" w:leader="none"/>
          <w:tab w:val="right" w:pos="9345" w:leader="dot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Ключевыми направлениями в рамках реализации программных мероприятий являются: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widowControl w:val="off"/>
        <w:tabs>
          <w:tab w:val="left" w:pos="440" w:leader="none"/>
          <w:tab w:val="left" w:pos="660" w:leader="none"/>
          <w:tab w:val="right" w:pos="9345" w:leader="dot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улучшение жилищных условий молодых семей;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widowControl w:val="off"/>
        <w:tabs>
          <w:tab w:val="left" w:pos="440" w:leader="none"/>
          <w:tab w:val="left" w:pos="660" w:leader="none"/>
          <w:tab w:val="right" w:pos="9345" w:leader="dot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Улучшение жилищных условий семей, состоящих на учете в качестве нуждающихся в жилых помещениях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и граждан, нуждающихся в особой заботе государства (таких как дети-сироты и дети, оставшиеся без попечения родителей, ветераны боевых действий, инвалиды боевых действий, инвалиды и семьи, имеющие детей – инвалидов, ветераны Великой Отечественной войны);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widowControl w:val="off"/>
        <w:tabs>
          <w:tab w:val="left" w:pos="440" w:leader="none"/>
          <w:tab w:val="left" w:pos="660" w:leader="none"/>
          <w:tab w:val="right" w:pos="9345" w:leader="dot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предоставление субсидии участникам специальной военной операции, членам их семей, состоящим на учете в качестве нуждающихся в жилых помещениях;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widowControl w:val="off"/>
        <w:tabs>
          <w:tab w:val="left" w:pos="440" w:leader="none"/>
          <w:tab w:val="left" w:pos="660" w:leader="none"/>
          <w:tab w:val="right" w:pos="9345" w:leader="dot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обеспечение устойчивого сокращения аварийного и непригодного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для проживания жилищного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фонда.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 рамках</w:t>
      </w:r>
      <w:r>
        <w:rPr>
          <w:rFonts w:ascii="Times New Roman" w:hAnsi="Times New Roman"/>
          <w:color w:val="auto"/>
          <w:sz w:val="24"/>
          <w:szCs w:val="24"/>
        </w:rPr>
        <w:t xml:space="preserve"> муниципальной программы реализуются мероприятия, направленные на исполнение регионального проекта </w:t>
      </w:r>
      <w:r>
        <w:rPr>
          <w:rFonts w:ascii="Times New Roman" w:hAnsi="Times New Roman"/>
          <w:color w:val="auto"/>
          <w:sz w:val="24"/>
          <w:szCs w:val="24"/>
        </w:rPr>
        <w:t xml:space="preserve">«Жилье»</w:t>
      </w:r>
      <w:r>
        <w:rPr>
          <w:rFonts w:ascii="Times New Roman" w:hAnsi="Times New Roman"/>
          <w:color w:val="auto"/>
          <w:sz w:val="24"/>
          <w:szCs w:val="24"/>
        </w:rPr>
        <w:t xml:space="preserve">, направленного на достижение результатов национального проекта </w:t>
      </w:r>
      <w:r>
        <w:rPr>
          <w:rFonts w:ascii="Times New Roman" w:hAnsi="Times New Roman"/>
          <w:color w:val="auto"/>
          <w:sz w:val="24"/>
          <w:szCs w:val="24"/>
        </w:rPr>
        <w:t xml:space="preserve">«Инфраструктура для жизни».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показателям,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ожидаемое значение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которых достигнуто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</w:p>
    <w:p>
      <w:pPr>
        <w:spacing w:after="0" w:line="240" w:lineRule="auto"/>
        <w:ind w:firstLine="708"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  <w:t xml:space="preserve">Показатели «Общая площадь расселенного аварийного жилищного фонда, признанного таковым до 1 января 2022 года» и «Количество граждан, переселенных 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  <w:t xml:space="preserve">з аварийного жилищного фонда, признанного таковым до 1 января 2022 года» устанавливаются на основании постановления Правительства Ханты-Мансийского автономного округа – Югры от 01.09.2025 «Об адресной программе Ханты-Мансийского автономного округа – Югры п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 переселению граждан из аварийного жилищного фонда на 2024-2030 годы» и были уточнены 20.03.2026 года. В связи с этим не было возможности внести изменения в муниципальную программу в части значений данных показателей.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r>
    </w:p>
    <w:p>
      <w:pPr>
        <w:spacing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Достижение  показателей муниципальной программы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auto"/>
          <w:sz w:val="20"/>
          <w:szCs w:val="20"/>
          <w:lang w:eastAsia="ru-RU"/>
        </w:rPr>
        <w:t xml:space="preserve">                   </w:t>
      </w:r>
      <w:r>
        <w:rPr>
          <w:rFonts w:ascii="Times New Roman" w:hAnsi="Times New Roman" w:eastAsia="Times New Roman"/>
          <w:color w:val="auto"/>
          <w:sz w:val="20"/>
          <w:szCs w:val="20"/>
          <w:lang w:eastAsia="ru-RU"/>
        </w:rPr>
        <w:t xml:space="preserve">       </w:t>
      </w:r>
      <w:r>
        <w:rPr>
          <w:rFonts w:ascii="Times New Roman" w:hAnsi="Times New Roman" w:eastAsia="Times New Roman"/>
          <w:color w:val="auto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820"/>
        <w:gridCol w:w="992"/>
        <w:gridCol w:w="1134"/>
        <w:gridCol w:w="1086"/>
        <w:gridCol w:w="1040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0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04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783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Сокращение количества аварийного и непригодного жилья на территории города Мегиона, признанного аварийным и непригодным,  из них: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кв.м.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1 506,1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86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9 724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4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6,5 раз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83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82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Общая площадь расселенного аварийного жилищного фонда, признанного таковым до 1 января 2022 года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кв.м.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1 009,1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086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8 381,2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04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 8,3 раза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783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82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Количество граждан, переселенных из аварийного жилищного фонда, признанного таковым до 1 января 2022 года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69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086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489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04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 7,1 раз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783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82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Количество семей, улучшивших свои жилищные условия, состоящих на учете в качестве нуждающихся в жилых помещениях,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предоставляемых по договорам социального найма, в том числе граждан, имеющих право на внеочередное предоставление жилья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семей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086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04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Увеличение количества молодых семей города Мегиона улучшивших свои жилищные условия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семей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4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3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Увеличение количества детей-сирот, детей, оставшихся без попечения родителей города Мегиона улучшивших свои жилищные условия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4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0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ветеранов боевых действий, инвалидов боевых действий, инвалидов и семей, имеющих детей инвалидов, улучшивших свои жилищные условия в общем списке очередности указанных категорий граждан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4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8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специалиста, занятого исполнением полномочий указанных в пунктах 3.1, 3.2 статьи 2 Закона Ханты-Мансийского автономного округа – Югры от 31.03.2009 № 36-оз «О наделении органов местного самоуправления муниципальных образо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  (приобретение канцелярских товаров, технических средств)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4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0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учас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тников специальной военной операции, а также членов их семей, состоящих на учете в качестве нуждающихся в жилых помещениях, предоставляемых по договорам социального  найма, получивших субсидию на приобретение (строительство) жилых помещений в собственность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семей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04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/>
          <w:color w:val="ff0000"/>
          <w:sz w:val="24"/>
          <w:szCs w:val="24"/>
        </w:rPr>
      </w: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12.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Развитие информационного общества на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территории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город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Мегион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администра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ции города от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09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1853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white"/>
        </w:rPr>
        <w:t xml:space="preserve">На момент п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роведения оценки эффективности муниципальная программа не приведена в соответст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вие с решениям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и Думы города Мегиона от 12.12.2025 №42 «О бюджете городского округа Мегион Ханты-Мансийского автономного округа – Югры на 2026 год и плановый период 2027 и 2028 годов», от 25.12.2025 №43 «О внесении изменений в решение Думы города Мегиона от 09.12.2024 №4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27 «О бюджете городского округа Мегион Ханты-Мансийского автономного округа – Югры на 2025 год и плановый период 2026 и 2027 годов» (см изменениями). Оценка эффективности муниципальной программы  пр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оведена на основании годового отчета муниципального бюджетного учреждения МЦИКТ «Вектор».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</w:p>
    <w:p>
      <w:pPr>
        <w:tabs>
          <w:tab w:val="left" w:pos="0" w:leader="none"/>
        </w:tabs>
        <w:spacing w:after="0" w:line="240" w:lineRule="auto"/>
        <w:ind w:firstLine="0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4"/>
        <w:gridCol w:w="1638"/>
        <w:gridCol w:w="1310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9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44 504,8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44 247,3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4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44 504,8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1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44 247,3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99,4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Основной целью муниципальной программы является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получение преимуществ                     от применения информационных и телекоммуникационных технологий гражданами и органами местного самоуправления.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Основные комплексы процессных мероприятий муниципальной программы: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обеспечение деятельности муниципальных учреждений;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защита информации органов местного самоуправления города Мегиона.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ходе реализации муниципальной программы было выполнено следующее: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оснащение комплектующими компьютерного и серверного оборудования администрации города (системные блоки, мониторы, многофункциональные устройства, жесткие диски, оперативная память, источники бесперебойного питания и т.д.);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оснащение сертифицированным программным обеспечением для органов администрации; 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сопровождение программного обеспечения органов администрации;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обслуживание и содержание уличного светодиодного экрана, расположенного на городской площади города Мегиона;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Поддержание высокого уровня информационной безопасности и защищенности данных.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значение которых достигнуто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остижение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536"/>
        <w:gridCol w:w="851"/>
        <w:gridCol w:w="1276"/>
        <w:gridCol w:w="1275"/>
        <w:gridCol w:w="1134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58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и сопровождение инфраструктуры информационно-коммуникацион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технологий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электронного правительства, имеющих важное значение для со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циально экономического развития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мун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иципального задания учреждением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МБУ МЦИКТ «Вектор»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567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567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6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Оснащение объектов информатизации, обрабатывающих информацию с ограниченным доступом сертифицированными программными и аппаратными средствами защиты информации, а также средствами обработки инфор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мации с ограниченными доступом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6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53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Осуществление мероприятий по обучению, повышению квалификации, профессиональной переподготовке специалистов в сфере защиты информации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отлично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».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данной программе рекомендуется обеспечить необходимый уровень финансирования за счет средств местного бюджета.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ab/>
        <w:t xml:space="preserve">Ответственному исполнителю рекомендуется обеспечивать своевременное внесение изменений в муниципальную программу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основании пункта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>
        <w:rPr>
          <w:rFonts w:ascii="Times New Roman" w:hAnsi="Times New Roman" w:eastAsia="Calibri Light" w:cs="Times New Roman"/>
          <w:color w:val="000000" w:themeColor="text1"/>
          <w:sz w:val="24"/>
          <w:szCs w:val="24"/>
        </w:rPr>
        <w:t xml:space="preserve"> Порядка принятия решения о разработке муниципальных программ города Мегиона, их формирования, утверждения и реализации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утвержденного постановлением администрации города от 21.06.2024 №1287 «О порядке разработки и реализации муниципальных программ города Мегиона» (с изменениями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).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13.Развитие транспортной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системы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город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Мегион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Программа утверждена постановлением администрации го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рода от 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16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.11.20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№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1895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8"/>
        <w:gridCol w:w="1638"/>
        <w:gridCol w:w="1306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8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165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8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306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771 252,6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6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718 756,1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93,2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379 787,0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6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348 543,5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91,8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391 465,6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6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370 212,6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94,6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Основной целью программы является развитие современной транспортной инфраструктуры, обеспечивающей повышение доступности и безопасности услуг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транспортного комплекса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для населения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город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В рамках муниципальной программы были реализованы следующие комплексы процессных мероприятий: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Calibri Light"/>
          <w:color w:val="auto"/>
          <w:sz w:val="24"/>
        </w:rPr>
      </w:pPr>
      <w:r>
        <w:rPr>
          <w:rFonts w:ascii="Times New Roman" w:hAnsi="Times New Roman" w:eastAsia="Calibri Light"/>
          <w:color w:val="auto"/>
          <w:sz w:val="24"/>
        </w:rPr>
        <w:t xml:space="preserve">строительство, капитальный ремонт и ремонт автомобильных дорог общего пользования местного значения;</w:t>
      </w:r>
      <w:r>
        <w:rPr>
          <w:rFonts w:ascii="Times New Roman" w:hAnsi="Times New Roman" w:eastAsia="Calibri Light"/>
          <w:color w:val="auto"/>
          <w:sz w:val="24"/>
        </w:rPr>
      </w:r>
      <w:r>
        <w:rPr>
          <w:rFonts w:ascii="Times New Roman" w:hAnsi="Times New Roman" w:eastAsia="Calibri Light"/>
          <w:color w:val="auto"/>
          <w:sz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Calibri Light"/>
          <w:color w:val="auto"/>
          <w:sz w:val="24"/>
        </w:rPr>
      </w:pPr>
      <w:r>
        <w:rPr>
          <w:rFonts w:ascii="Times New Roman" w:hAnsi="Times New Roman" w:eastAsia="Calibri Light"/>
          <w:color w:val="auto"/>
          <w:sz w:val="24"/>
        </w:rPr>
        <w:t xml:space="preserve">обеспечение доступности и повышение качества транспортных услуг автомобильным транспортом;</w:t>
      </w:r>
      <w:r>
        <w:rPr>
          <w:rFonts w:ascii="Times New Roman" w:hAnsi="Times New Roman" w:eastAsia="Calibri Light"/>
          <w:color w:val="auto"/>
          <w:sz w:val="24"/>
        </w:rPr>
      </w:r>
      <w:r>
        <w:rPr>
          <w:rFonts w:ascii="Times New Roman" w:hAnsi="Times New Roman" w:eastAsia="Calibri Light"/>
          <w:color w:val="auto"/>
          <w:sz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Calibri Light"/>
          <w:color w:val="auto"/>
          <w:sz w:val="24"/>
        </w:rPr>
      </w:pPr>
      <w:r>
        <w:rPr>
          <w:rFonts w:ascii="Times New Roman" w:hAnsi="Times New Roman" w:eastAsia="Calibri Light"/>
          <w:color w:val="auto"/>
          <w:sz w:val="24"/>
        </w:rPr>
        <w:t xml:space="preserve">обеспечение функционирования сети автомобильных дорог общ</w:t>
      </w:r>
      <w:r>
        <w:rPr>
          <w:rFonts w:ascii="Times New Roman" w:hAnsi="Times New Roman" w:eastAsia="Calibri Light"/>
          <w:color w:val="auto"/>
          <w:sz w:val="24"/>
        </w:rPr>
        <w:t xml:space="preserve">его пользования города Мегиона;</w:t>
      </w:r>
      <w:r>
        <w:rPr>
          <w:rFonts w:ascii="Times New Roman" w:hAnsi="Times New Roman" w:eastAsia="Calibri Light"/>
          <w:color w:val="auto"/>
          <w:sz w:val="24"/>
        </w:rPr>
      </w:r>
      <w:r>
        <w:rPr>
          <w:rFonts w:ascii="Times New Roman" w:hAnsi="Times New Roman" w:eastAsia="Calibri Light"/>
          <w:color w:val="auto"/>
          <w:sz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Calibri Light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 Light"/>
          <w:color w:val="auto"/>
          <w:sz w:val="24"/>
        </w:rPr>
        <w:t xml:space="preserve">субсидии перевозчику</w:t>
      </w:r>
      <w:r>
        <w:rPr>
          <w:rFonts w:ascii="Times New Roman" w:hAnsi="Times New Roman" w:eastAsia="Calibri Light"/>
          <w:color w:val="auto"/>
          <w:sz w:val="24"/>
        </w:rPr>
        <w:t xml:space="preserve">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</w:t>
      </w:r>
      <w:r>
        <w:rPr>
          <w:rFonts w:ascii="Times New Roman" w:hAnsi="Times New Roman" w:eastAsia="Calibri Light"/>
          <w:color w:val="auto"/>
          <w:sz w:val="24"/>
        </w:rPr>
        <w:t xml:space="preserve">общеобразовате</w:t>
      </w:r>
      <w:r>
        <w:rPr>
          <w:rFonts w:ascii="Times New Roman" w:hAnsi="Times New Roman" w:eastAsia="Calibri Light"/>
          <w:color w:val="auto"/>
          <w:sz w:val="24"/>
        </w:rPr>
        <w:t xml:space="preserve">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до муниципальных общеобразовательных организаций и обратно;</w:t>
      </w:r>
      <w:r>
        <w:rPr>
          <w:rFonts w:ascii="Times New Roman" w:hAnsi="Times New Roman" w:eastAsia="Calibri Light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 Light"/>
          <w:color w:val="auto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Calibri Light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 Light"/>
          <w:color w:val="auto"/>
          <w:sz w:val="24"/>
          <w:highlight w:val="none"/>
        </w:rPr>
        <w:t xml:space="preserve">совершенствование условий движения и организации дорожного движения на улично-дорожной сети города Мегиона.</w:t>
      </w:r>
      <w:r>
        <w:rPr>
          <w:rFonts w:ascii="Times New Roman" w:hAnsi="Times New Roman" w:eastAsia="Calibri Light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 Light"/>
          <w:color w:val="auto"/>
          <w:sz w:val="24"/>
          <w:szCs w:val="24"/>
          <w:highlight w:val="none"/>
        </w:rPr>
      </w:r>
    </w:p>
    <w:p>
      <w:pPr>
        <w:pStyle w:val="904"/>
        <w:tabs>
          <w:tab w:val="left" w:pos="709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Оценка эффективности реализации муниципально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й программы осу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ществлялась по 9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показателям, ожидае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мое значение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которых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достигнуто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в полном объеме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Информация о степени достижения показателей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пока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3686"/>
        <w:gridCol w:w="709"/>
        <w:gridCol w:w="1134"/>
        <w:gridCol w:w="1134"/>
        <w:gridCol w:w="850"/>
        <w:gridCol w:w="1559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Примечание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58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Строительство (реконструкция), капитальный ремонт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ремонт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автомобильных дорог общего пользования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искусственных сооружений, а также внутриквартальных проездов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кв.м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7 062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7 062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Протяженность сети автомобильных дорог общего пользования местного значения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84 600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84 600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5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протяженности автомобильных дорог, соответствующих нормативным требованиям к транспортно-эксплуатационным показателям на 31 декабря отчетного года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пассажирских перевозок автомобильным транспортом в городе Мегионе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181,8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181,8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03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Осуществление Перевозчиком перевозок обучаю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щихся в муниципальных общеобразовательных организациях муниципального образования город Мегион и поселка городского типа Высокий автомобильным транспортом общего пользования (за исключением такси) до муниципальных общеобразовательных организаций и обратно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1 350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1 350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жителей города пострадавших в дорожно-транспортных происшествиях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показатели «негативные», положительной динамикой которых является уменьшение их значений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детей пострадавших в дорожно-транспортных происшествиях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дорожно-транспортных происшествий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случаев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86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от общего количества дорожно-транспортных происшествий с участием детей по показателям на 31 декабря отчетного года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14.Развитие жилищно-коммунального комплекса и повышение энер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гетической эффективности в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город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Мегион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админист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рации города от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№1900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763 959,9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659 057,6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86,3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529 558,9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479 809,2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90,6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234 401,0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highlight w:val="none"/>
                <w:lang w:eastAsia="ar-SA"/>
              </w:rPr>
              <w:t xml:space="preserve">179 248,4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76,5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Batang"/>
          <w:color w:val="ff0000"/>
          <w:sz w:val="24"/>
          <w:szCs w:val="24"/>
        </w:rPr>
      </w:pPr>
      <w:r>
        <w:rPr>
          <w:rFonts w:ascii="Times New Roman" w:hAnsi="Times New Roman" w:eastAsia="Batang"/>
          <w:color w:val="ff0000"/>
          <w:sz w:val="24"/>
          <w:szCs w:val="24"/>
          <w:lang w:eastAsia="ko-KR"/>
        </w:rPr>
      </w:r>
      <w:r>
        <w:rPr>
          <w:rFonts w:ascii="Times New Roman" w:hAnsi="Times New Roman" w:eastAsia="Batang"/>
          <w:color w:val="ff0000"/>
          <w:sz w:val="24"/>
          <w:szCs w:val="24"/>
        </w:rPr>
      </w:r>
      <w:r>
        <w:rPr>
          <w:rFonts w:ascii="Times New Roman" w:hAnsi="Times New Roman" w:eastAsia="Batang"/>
          <w:color w:val="ff0000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Batang"/>
          <w:color w:val="000000" w:themeColor="text1"/>
          <w:sz w:val="24"/>
          <w:szCs w:val="24"/>
        </w:rPr>
      </w:pPr>
      <w:r>
        <w:rPr>
          <w:rFonts w:ascii="Times New Roman" w:hAnsi="Times New Roman" w:eastAsia="Batang"/>
          <w:color w:val="000000" w:themeColor="text1"/>
          <w:sz w:val="24"/>
          <w:szCs w:val="24"/>
          <w:lang w:eastAsia="ko-KR"/>
        </w:rPr>
        <w:t xml:space="preserve">Основной целью программы является развитие жилищно-коммунального комплекса и повышение энергетической эффективности, 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оздание условий для комфортного проживания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граждан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повышение качества и надежности предоставления жилищно-коммунальных услуг населению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eastAsia="Batang"/>
          <w:color w:val="000000" w:themeColor="text1"/>
          <w:sz w:val="24"/>
          <w:szCs w:val="24"/>
        </w:rPr>
      </w:r>
      <w:r>
        <w:rPr>
          <w:rFonts w:ascii="Times New Roman" w:hAnsi="Times New Roman" w:eastAsia="Batang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реализации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программы выполнены мероприятия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обращению с животными без владельцев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обитающих на территории города Мегиона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тлов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транспортировка, учет, с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одержание, утилизация безнадзорных и бродячих животных)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; проведены мероприятия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дератизации и дезинсекции;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проводились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ероприятия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содержанию надлежащег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санитарного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состояния и планировка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трех кладбищ;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выполнены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противопаводковые мероприятия;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работы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посадке и уходу за цветниками и газонами;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мероприятия по текущему обслуживанию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 текущему ремонту сетей уличного освещения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оказаны услуги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содержанию детских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площадок,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произведен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ремонт и установка нового игрового оборудования на детских игровых площадках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подготовка объектов к новогодним мероприятиям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; ремонт и содержание площадей и скверов.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yellow"/>
        </w:rPr>
      </w:r>
    </w:p>
    <w:p>
      <w:pPr>
        <w:pStyle w:val="904"/>
        <w:tabs>
          <w:tab w:val="left" w:pos="709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й программы осуществл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ялась по 21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показателю,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ожидаемое значение которых достигнуто в полном объеме.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709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ff0000"/>
          <w:sz w:val="20"/>
          <w:szCs w:val="20"/>
          <w:lang w:eastAsia="ru-RU"/>
        </w:rPr>
        <w:t xml:space="preserve">                          </w:t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3402"/>
        <w:gridCol w:w="993"/>
        <w:gridCol w:w="1132"/>
        <w:gridCol w:w="1134"/>
        <w:gridCol w:w="852"/>
        <w:gridCol w:w="1559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Примечание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Ежегодное количество отловленных безнадзорных и бродячих животных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Площадь, на которой проведены мероприятия по дератизации и дезинсекции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490,91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490,91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Ежегодное количество снесенного непригодного для проживания жилья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Площадь обслуживаемых магистральных и луговых газонов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 кв.м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178,6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178,6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9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бслужива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емых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детских игровых площадок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м потребления электроэнергии на уличное освещение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т.кВт/ч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1 731,5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1 731,5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Протяженность обслужива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емых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сетей уличного освещения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обслуживаемых кладбищ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Общая площадь территории вновь построенного кладбища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кв.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10 442,2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10 442,2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Проведенные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противопаводковые мероприятия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маш./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час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объектов, подготовленных к новогодним мероприятиям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площадей и скверов, на которых выполняются работы по содержанию и ремонту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Merge w:val="restart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установленных приборов учета энергоресурсов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Batang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  <w:lang w:eastAsia="ko-KR"/>
              </w:rPr>
              <w:t xml:space="preserve">Количество муниципальных квартир в которых проведен капитальный ремонт или реконструкция</w:t>
            </w:r>
            <w:r>
              <w:rPr>
                <w:rFonts w:ascii="Times New Roman" w:hAnsi="Times New Roman" w:eastAsia="Batang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Batang"/>
                <w:color w:val="ff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кв.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  <w:lang w:eastAsia="ko-KR"/>
              </w:rPr>
              <w:t xml:space="preserve">Доля замены ветхих инженерных сетей теплоснабжения, водоснабжения, водоотведения, в том числе композитных материалов в текущем году от общей протяженности ветхих инженерных сетей теплоснабжения, водоснабжения, водоотведения</w:t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3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Протяженность замененных ветхих сетей теплоснабжения, 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одоснабжения и водоотведения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6,96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6,96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3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обслуживаемых пожарных гидрантов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1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Ежегодное обеспечение сжиженным газом населения в границах города Мегиона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т/год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shd w:val="clear" w:color="000000" w:fill="ffffff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0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  <w:lang w:eastAsia="ko-KR"/>
              </w:rPr>
              <w:t xml:space="preserve">Доля многоквартирных домов, в которых проведен ремонт в соответствии с краткосрочным планом реализации региональной программы капитального ремонта общего имущества в многоквартирных домах</w:t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96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  <w:lang w:eastAsia="ko-KR"/>
              </w:rPr>
              <w:t xml:space="preserve">Снижение задолженности за потребленные топливно-энергетические ресурсы</w:t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показатели «негативные», положительной динамикой которых является уменьшение их значений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809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  <w:lang w:eastAsia="ko-KR"/>
              </w:rPr>
              <w:t xml:space="preserve">Предоставление коммунальных услуг населению, холодному и горячему вод</w:t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  <w:lang w:eastAsia="ko-KR"/>
              </w:rPr>
              <w:t xml:space="preserve">оснабжению, водоотведению и коммунальных ресурсов, потребляемых при использовании и содержании общего имущества в многоквартирном доме, с применением понижающих коэффициентов к нормативам потребления коммунальных услуг и нормативам расхода тепловой энергии</w:t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Batang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426" w:leader="none"/>
        </w:tabs>
        <w:spacing w:after="0" w:line="240" w:lineRule="auto"/>
        <w:ind w:firstLine="42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15.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Мероприятия в области градостроительной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деятельности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город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гион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минист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рации города от 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.12.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2023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168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 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90"/>
        <w:gridCol w:w="1638"/>
        <w:gridCol w:w="1304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0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3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0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4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0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11 156,9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4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9 985,4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89,5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0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9 856,8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4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8 770,5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89,0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0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1 300,1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4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1 214,9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93,4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Основной целью муниципальной программы является обеспечение устойчивого пр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остранственного развития в городском округе Мегион, формирование комфортной городской среды и повышение качества жизни населения, увеличение объема жилищного строительства и обеспечение к 2030 году доступными и качественными жилищно-коммунальными услугами.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 муниципальной программы были реализованы комплексы прооцессных мероприятий: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ершенствование системы управления градостроительным развитием территории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 реализации муниципальной программы реализуются мероприятия, направленные на исполнение регионального проекта «Жилье»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направленного на достижение результатов национального проекта «Инфраструктура для жизни».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before="20"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Достижение цели национального проекта оценивается включенным в муниципальную программу показателем, направленным на исполнение национального проекта - «Объем жилищного строительства».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Показатель исполнен.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709" w:leader="none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елям,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ожидаемое значение которых достигнуто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3828"/>
        <w:gridCol w:w="850"/>
        <w:gridCol w:w="992"/>
        <w:gridCol w:w="993"/>
        <w:gridCol w:w="850"/>
        <w:gridCol w:w="1559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Примечание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3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Увеличение количества разработанных документов по актуализации градостроительной документации (включая проекты планировки и проекты межевания, Правила землепользования и застройки, Генеральный план, местные нормативы градостроительного проектирования)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</w:tr>
      <w:tr>
        <w:trPr>
          <w:trHeight w:val="355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кадастровых кварталов с выполненными комплексными кадастровыми работами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95,0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</w:tr>
      <w:tr>
        <w:trPr>
          <w:trHeight w:val="3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Объем жилищного строительства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кв.м.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30 000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31 813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106,0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rPr>
          <w:trHeight w:val="60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2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Увеличение сформированных земельных участков под индивидуальное жилищное строительство для бесплатного предоставления гражданам льготных категорий (участков)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115,8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16.Формирование доступной среды для инвалидо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 и других маломобильных групп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населения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на территории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город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Мегион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Программа утверждена постановлением админист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рации города от 2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.12.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2023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№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2167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8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14 723,5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7 786,5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52,9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3 000,0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3 000,0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  <w:lang w:eastAsia="ar-SA"/>
              </w:rPr>
              <w:t xml:space="preserve">11 723,5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4 786,5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  <w:t xml:space="preserve">40,8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Основной целью муниципальной программы является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создание правовых экономических и институциональных условий способствующих интеграции инвалидов в общество и повышению уровня их жизн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В рамках муниципальной программы были реализованы следующие комплексы процессных мероприятий: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«Повышение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населения»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  <w:t xml:space="preserve">«Формирование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населения».</w:t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beforeAutospacing="0" w:after="0" w:afterAutospacing="0" w:line="240" w:lineRule="auto"/>
        <w:ind w:left="0"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 связи с образованием кредиторской задолженности, финансирование муниципальной программы исполнено на 52,9%. Оплата планируется в 1 квартале 2026 года.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2  показателям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ожидаемое значение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которых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гнуто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пока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5245"/>
        <w:gridCol w:w="851"/>
        <w:gridCol w:w="992"/>
        <w:gridCol w:w="992"/>
        <w:gridCol w:w="992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24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24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объектов социальной инфраструктуры обеспеченных доступом для инвалидов и других маломобильных групп населения, в том числе, количество разработанных проектно-сметных документаций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24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жилых помещений (в соответствии с оптимальным перечнем) и общего имущества в многоквартирном доме, в котором расположены жилые помещения для инвалидов и других маломобильных групп населения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«удовлетворительно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». 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 данной программе рекомендуется сохранить уровень финансирования муниципальной программы за счет средств местного бюджета в очередном финансовом году при условии ее корректировки.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17.Профилактика правонарушений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 сфере общественного порядка,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незаконного оборота и зло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употребления наркотиками в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город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Мегион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админист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рации города от 14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.12.20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079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26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1 744,2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1 658,4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95,1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138,8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138,8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1 605,4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1 519,6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94,7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Основными целями программы является обеспечение общественного порядка, профилактика правонарушений,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снижение уровня преступности,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организационное, нормативное правовое и ресурсное обеспечение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антинаркотической деятельности, обеспечение прав граждан в отдельных сферах жизнедеятельности.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567" w:leader="none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рамках реализации программных мероприятий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выплачено материальное стимулирование народных дружинников, на изготовление плакатов, информационных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листовок, на оплату услуг круглосуточной охраны памятников воинской славы,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приобретение расходных материалов для проведения а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нтинаркотической акции «Время жить», на приобретение расходных материалов для организации и проведения антинаркотического концерта для молодежи, на приобретение призовой продукции и расходных материалов для организации и проведения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физкультурно-спортивного мероприятия «Выбираю спорт!»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на другие мероприятия.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муниципальной программы осуществлялась по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5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 которых достигнуто в полном объеме по 4 показателям.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Показатель 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Уровень преступности на улицах и в общественных местах (число зарегистрированных преступлений на 100 тыс.населения)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 увеличился по итогам года за счет роста краж.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формация о ходе реализации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размещена на официальном сайте администрации города https://admmegion.ru/programs/munici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78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8"/>
        <w:gridCol w:w="3863"/>
        <w:gridCol w:w="709"/>
        <w:gridCol w:w="992"/>
        <w:gridCol w:w="992"/>
        <w:gridCol w:w="1168"/>
        <w:gridCol w:w="1559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6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6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Примечание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7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8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6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преступности (число зарегистрированных преступлений на 100 тыс.населения)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1 030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1075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6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95,8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показатели «негативные», положительной динамикой которых является уменьшение их значений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64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8" w:type="dxa"/>
            <w:tcBorders>
              <w:bottom w:val="non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63" w:type="dxa"/>
            <w:tcBorders>
              <w:bottom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преступности на улицах и в общественных местах (на 100 тыс. населения)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tcBorders>
              <w:bottom w:val="non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cBorders>
              <w:bottom w:val="non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cBorders>
              <w:bottom w:val="non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68" w:type="dxa"/>
            <w:tcBorders>
              <w:bottom w:val="non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89,8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tcBorders>
              <w:bottom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показатели «негативные», положительной динамикой которых является уменьшение их значений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7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8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6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Общая распространенность наркомании (на 100 тыс. населения)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6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96,1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показатели «негативные», положительной динамикой которых является уменьшение их значений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64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8" w:type="dxa"/>
            <w:tcBorders>
              <w:bottom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63" w:type="dxa"/>
            <w:tcBorders>
              <w:bottom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Общая оценка наркоситуации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tcBorders>
              <w:bottom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напряженная</w:t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  <w:tc>
          <w:tcPr>
            <w:tcW w:w="992" w:type="dxa"/>
            <w:tcBorders>
              <w:bottom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напряженная</w:t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  <w:tc>
          <w:tcPr>
            <w:tcW w:w="1168" w:type="dxa"/>
            <w:tcBorders>
              <w:bottom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 уровне плановой</w:t>
            </w: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rFonts w:ascii="Times New Roman" w:hAnsi="Times New Roman"/>
                <w:color w:val="000000" w:themeColor="text1"/>
              </w:rPr>
            </w:r>
          </w:p>
        </w:tc>
        <w:tc>
          <w:tcPr>
            <w:tcW w:w="1559" w:type="dxa"/>
            <w:tcBorders>
              <w:bottom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64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8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86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потребительских споров, разрешенных в досудебном порядке, в общем количестве споров с участием потребителей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709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6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9" w:type="dxa"/>
            <w:noWrap w:val="false"/>
            <w:textDirection w:val="lrTb"/>
            <w:vAlign w:val="top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18.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Укрепление межнационального и межконфессионального согласия, профилактика экстремизма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и терроризма в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город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е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Мегион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е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Программа утверждена постановлением а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дминистрации города от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14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.12.20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№2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086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Финансовое обес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печение муниципальной программы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93"/>
        <w:gridCol w:w="1638"/>
        <w:gridCol w:w="1301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3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160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3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30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3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9 574,9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9 551,5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99,8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/>
        <w:tc>
          <w:tcPr>
            <w:tcW w:w="5693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195,5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195,5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93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9 379,4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9 356,0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99,8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</w:tbl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Основной целью программы является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укрепление единства народов Российской Федерации, проживающих на территории города Мегиона, профилактика экстремизма и терроризма в городе Мегионе.</w:t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рамках реализации муниципальной программы финансирование направлено на: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0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ab/>
        <w:t xml:space="preserve"> установку системы оповещения и управления эвакуацией на объектах «Аллея Славы», мемориал «Звезда»;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приобретение расходных материалов и призовой продукции для проведения патриотической игры «Я гражданин России», культурно-просветительского проекта «Семейные национальные традиции мегионцев»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фестиваля «Игры народов России»;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  <w:lang w:eastAsia="ru-RU"/>
        </w:rPr>
        <w:t xml:space="preserve">приобретение казачьей одежды в рамках организации и проведения  праздничного концерта ко Дню Сибирского казачьего войска и другие мероприятия.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й программы осуществлялась по 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 кото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рых достигнуто в полном объеме.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Достижение показателей муниципальной программы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395"/>
        <w:gridCol w:w="850"/>
        <w:gridCol w:w="1134"/>
        <w:gridCol w:w="1418"/>
        <w:gridCol w:w="1275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10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Доля граждан, положительно оценивающих состояние межнациональных отношений в городе Мегионе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8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,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val="en-US"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val="en-US"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val="en-US"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101,3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28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участников мероприятий, направленных на укрепление общероссийского гражданского единства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0,680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0,726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106,8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30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Численность участников мероприятий, направленных на этнокультурное развитие народов России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тыс.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чел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1,000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0,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995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99,5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78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Количество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общения, и языков народов России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тыс.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чел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0,280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0,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270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96,4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783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395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участников мероприятий, направленных на социальную и культурную адаптацию иностранных граждан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850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0,500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2,287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75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4,6 раза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82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39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Обеспеченность мест массового пребывания людей, от общего количества мест, включенных в Перечень мест массового пребывания людей, техническими средствами антитеррористической защищенности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850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/>
          <w:b/>
          <w:color w:val="auto"/>
          <w:sz w:val="24"/>
          <w:szCs w:val="24"/>
          <w:lang w:eastAsia="ru-RU"/>
        </w:rPr>
        <w:t xml:space="preserve">19</w:t>
      </w:r>
      <w:r>
        <w:rPr>
          <w:rFonts w:ascii="Times New Roman" w:hAnsi="Times New Roman" w:eastAsia="Times New Roman"/>
          <w:b/>
          <w:color w:val="auto"/>
          <w:sz w:val="24"/>
          <w:szCs w:val="24"/>
          <w:lang w:eastAsia="ru-RU"/>
        </w:rPr>
        <w:t xml:space="preserve">.Развитие обр</w:t>
      </w:r>
      <w:r>
        <w:rPr>
          <w:rFonts w:ascii="Times New Roman" w:hAnsi="Times New Roman" w:eastAsia="Times New Roman"/>
          <w:b/>
          <w:color w:val="auto"/>
          <w:sz w:val="24"/>
          <w:szCs w:val="24"/>
          <w:lang w:eastAsia="ru-RU"/>
        </w:rPr>
        <w:t xml:space="preserve">азования</w:t>
      </w:r>
      <w:r>
        <w:rPr>
          <w:rFonts w:ascii="Times New Roman" w:hAnsi="Times New Roman" w:eastAsia="Times New Roman"/>
          <w:b/>
          <w:color w:val="auto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/>
          <w:b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ab/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Программа утверждена постановлением администрации 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города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от 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27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0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.20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2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3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№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1759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/>
          <w:b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Финансовое обес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печение муниципальной программы</w:t>
      </w:r>
      <w:r>
        <w:rPr>
          <w:rFonts w:ascii="Times New Roman" w:hAnsi="Times New Roman" w:eastAsia="Times New Roman"/>
          <w:color w:val="auto"/>
          <w:sz w:val="20"/>
          <w:szCs w:val="20"/>
          <w:lang w:eastAsia="ar-SA"/>
        </w:rPr>
        <w:t xml:space="preserve"> 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ff0000"/>
          <w:sz w:val="20"/>
          <w:szCs w:val="20"/>
        </w:rPr>
      </w:pPr>
      <w:r>
        <w:rPr>
          <w:rFonts w:ascii="Times New Roman" w:hAnsi="Times New Roman" w:eastAsia="Times New Roman"/>
          <w:color w:val="ff0000"/>
          <w:sz w:val="20"/>
          <w:szCs w:val="20"/>
          <w:lang w:eastAsia="ar-SA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  <w:r>
        <w:rPr>
          <w:rFonts w:ascii="Times New Roman" w:hAnsi="Times New Roman" w:eastAsia="Times New Roman"/>
          <w:color w:val="ff0000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426"/>
        <w:gridCol w:w="1100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426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3 739 306,3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426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3 676 572,3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98,3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132 046,7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426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132 045,0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 858 690,4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426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2 821 843,9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98,7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748 569,2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426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722 683,4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100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96,5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Основн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ой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ц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ю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му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ниципальной программы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является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беспечение доступности ка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чественного образования, соответствующего требованиям инновационного развития экономики, современным потребностям общества и каждого жителя города, формирование эффективной системы выявления, поддержки и развития способностей и талантов у детей и молодежи.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 реализации про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граммных мероприятий были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выполнены следующ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ие мероприятия: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обеспечение деятельности органов местного самоуправления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ab/>
        <w:t xml:space="preserve">развитие системы дошкольного и общего образования;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ab/>
        <w:t xml:space="preserve">предоставление компенсации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образования»;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ab/>
        <w:t xml:space="preserve">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развитие и организационное обеспечение деятельности в муниципальных организациях;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организация питания в муниципальных общеобразовательных организациях;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организация отдыха и оздоровления детей и подростков;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обеспечение ко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плексной безопасности образовательных организаций»;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подготовка образовательных организаций к осенне-зимнему периоду, к новому учебному году;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проведение мероприятий по приведению в нормативное состояние антитеррористической защищенности объек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тов образовательных организаций;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реализация инициативных проектов, отобранных по результатам конкурса.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 муниципальной программы реализуются мероприятия, направленные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на исполнение региональных проектов «Все лучшее детям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», «Профессионалитет»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, «Педагоги и нставники», направленных на достижение результатов национального проекта «Молодежь и дети».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цели национального проекта оценивается включенным в муниципальную программу показателями, направленными на исполнение национального проекта.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Показатели исполнены.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Для города Мегиона декомпозированы следующие показатели: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ab/>
        <w:t xml:space="preserve">«Доля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мастерства»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, п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ри плане – 53,9%, достигнут на уровне 103,4%.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ab/>
        <w:t xml:space="preserve">«Доля детей в возрасте от 5 до 18 лет, охваченных дополнительным образованием», при плане 87,7% достигнут на уровне 103,2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%.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15"/>
        <w:tabs>
          <w:tab w:val="left" w:pos="0" w:leader="none"/>
        </w:tabs>
        <w:ind w:left="0"/>
        <w:contextualSpacing/>
        <w:jc w:val="both"/>
        <w:rPr>
          <w:color w:val="auto"/>
        </w:rPr>
      </w:pPr>
      <w:r>
        <w:rPr>
          <w:color w:val="ff0000"/>
          <w:lang w:eastAsia="ru-RU"/>
        </w:rPr>
        <w:tab/>
      </w:r>
      <w:r>
        <w:rPr>
          <w:color w:val="auto"/>
          <w:lang w:eastAsia="ru-RU"/>
        </w:rPr>
        <w:t xml:space="preserve">Оценка эффективности реализации муниципально</w:t>
      </w:r>
      <w:r>
        <w:rPr>
          <w:color w:val="auto"/>
          <w:lang w:eastAsia="ru-RU"/>
        </w:rPr>
        <w:t xml:space="preserve">й программы осуществлялась по 16</w:t>
      </w:r>
      <w:r>
        <w:rPr>
          <w:color w:val="auto"/>
          <w:lang w:eastAsia="ru-RU"/>
        </w:rPr>
        <w:t xml:space="preserve">  показателям</w:t>
      </w:r>
      <w:r>
        <w:rPr>
          <w:color w:val="auto"/>
          <w:lang w:eastAsia="ru-RU"/>
        </w:rPr>
        <w:t xml:space="preserve">, </w:t>
      </w:r>
      <w:r>
        <w:rPr>
          <w:color w:val="auto"/>
          <w:lang w:eastAsia="ru-RU"/>
        </w:rPr>
        <w:t xml:space="preserve">ожидаемое значение которых достигнуто в полном объеме</w:t>
      </w:r>
      <w:r>
        <w:rPr>
          <w:color w:val="auto"/>
          <w:lang w:eastAsia="ru-RU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Достижение показателей муниципальной п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рограммы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jc w:val="right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965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247"/>
        <w:gridCol w:w="992"/>
        <w:gridCol w:w="1134"/>
        <w:gridCol w:w="1418"/>
        <w:gridCol w:w="1281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45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Доступность дошкольного образования для д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етей в возрасте от 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1,5 до 7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 лет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8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Сохранение доли муниципальных 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обще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образовательных организаций, соответствующих современным требованиям обучения, в общем количестве муниципальных 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обще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образовательных организаций, на уровне 100%.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8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детей в возрасте от 6 до 17 лет (включительно), охваченных всеми формами отдыха и оздоровления, от общей численности детей, нуждающихся в отдыхе и оздоровлении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8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Сохранение доли образовательных организаций, поддерживающие эксплуатационный ресурс объектов и технические характеристики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 эксплуатируемых зданий от общего количества муниципальных образовательных организаций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8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обучающихся муниципальных общеобразовательных организаций, которым предоставляется питание в период учебного года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3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выпускников муниципальных общеобразовательных организаций,  получивших аттестат о среднем образовании, в общей численности выпускников муниципальных общеобразовательных организаций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99,7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100,3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200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Сохранение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 целевого показателя средней заработной платы педагогических работников муниципальных образовательных организаций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99,0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99,0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Количество образовательных учреждений, воспользовавшихся налоговой льготой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Количество выплат ежемесячного денежного вознаграждения советникам директоров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педагогических работников общеобразовательных организаций, прошедших повышение квалификации, в том числе в центрах непрерывного  повышения профессионального мастерства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53,9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56,0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103,9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участников Всероссийской олимпиады школьников, городских, окружных, и Всероссийских конкурсов и соревнований от общего количества обучающихся муниципальных общеобразовательных организаций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55,0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55,9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101,6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обучающихся муниципальных общеобразовательных организаци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й в возрасте от 12 до 18 лет, вовлеченных в добровольческую деятельность, деятельность Добровольного российского  детско-юношеского движения «Юнармия», общероссийской общественно-государственной детско-юношеской организации «Российское движение школьников»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16,2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108,0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детей и молодежи в возрасте от 7 до 35 лет, у которых выявлены выдающиеся способности и таланты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0,46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1,18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 2,6 раз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детей в возрасте от 5 до 18 лет, охваченных дополнительным образованием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87,7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90,51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103,2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Доля обучающихся 6-11 классов, охваченных комплексом профориентационных мероприятий в рамках Единой модели профориентации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43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57,74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134,3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060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4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widowControl w:val="off"/>
              <w:spacing w:after="0" w:line="240" w:lineRule="auto"/>
              <w:jc w:val="both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Количество инициативных проектов реализованных с привлечением средств бюджета Ханты-Мансийского автономного округа - Югры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8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«хорошо».  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По данной программе рекомендуется сохранить 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2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0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.Развитие экологической безопасности на территории города Мегиона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Программа утверждена постановлением администрации города от 16.11.2023 №1893 (с изменениями).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0"/>
          <w:szCs w:val="20"/>
          <w:lang w:eastAsia="ar-SA"/>
        </w:rPr>
        <w:t xml:space="preserve"> </w:t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19 342,2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18 049,6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93,3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163,0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163,0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19 179,2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  <w:lang w:eastAsia="ar-SA"/>
              </w:rPr>
              <w:t xml:space="preserve">17 886,6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  <w:t xml:space="preserve">93,3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0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  <w:tab/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Основная цель программы 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сохранение благоприятной окружающей среды и биологического разнообразия, эффективное использование, охрана, защита и воспроизводство лесов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  <w:tab w:val="num" w:pos="72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  <w:tab/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В рамках реа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лизации муниципальной программы проведены следующие мероприятия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ab/>
        <w:tab/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  <w:tab w:val="num" w:pos="720" w:leader="none"/>
        </w:tabs>
        <w:spacing w:after="0" w:line="240" w:lineRule="auto"/>
        <w:ind w:left="708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обслуживание 158 контейнерных площадок накопления твердых коммунальных отходов;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  <w:tab w:val="num" w:pos="72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           отремонтированы 22 контейнерные площадки для накопления твердых коммунальных отходов;</w:t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ликвидированы несанкционированные свалки в количестве 22 штук;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r>
    </w:p>
    <w:p>
      <w:pPr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  <w:tab/>
        <w:t xml:space="preserve">выполнение работ по устройству минерализованной полосы;</w:t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  <w:tab/>
        <w:t xml:space="preserve">вывоз неликвидной древесины;</w:t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  <w:tab/>
        <w:t xml:space="preserve">уборка захламленности территории.</w:t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ab/>
        <w:t xml:space="preserve">Оценка эффективности реализации муниципальн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ой программы осуществлялась по 4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 показателям, ожидаемое значение которых достигнуто в полном объеме.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ограммы представлена в таблице.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Достижение  пока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зателей муниципальной программы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9654" w:type="dxa"/>
        <w:tblInd w:w="9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253"/>
        <w:gridCol w:w="992"/>
        <w:gridCol w:w="1134"/>
        <w:gridCol w:w="1418"/>
        <w:gridCol w:w="1275"/>
      </w:tblGrid>
      <w:tr>
        <w:trPr>
          <w:trHeight w:val="840"/>
          <w:tblHeader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Ед.из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493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Количество 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иквидированных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несанкционированных свалок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ед.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22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26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Обустройство и ремонт мест (площадок) накопления твердых коммунальных отходов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260"/>
        </w:trPr>
        <w:tblPrEx/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Содержание (мест) площадок накопления твердых коммунальных отходов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158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158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260"/>
        </w:trPr>
        <w:tblPrEx/>
        <w:tc>
          <w:tcPr>
            <w:tcW w:w="5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4253" w:type="dxa"/>
            <w:vMerge w:val="restart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Устройство противопожарной минерализованной полосы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км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1,175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,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7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По результатам реализации за 2025 год муниципальная программа признана эффективной, присвоена оценка «хорошо». 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2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1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Развитие м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униципального управления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Программа утверждена постановл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ением администрации города от 27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0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.20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№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1746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всего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643 699,7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621 881,0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96,6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9 088,4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9 088,4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15 666,5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15 654,2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99,9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  <w:t xml:space="preserve">618 944,8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597 138,4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ar-SA"/>
              </w:rPr>
              <w:t xml:space="preserve">96,5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Основной целью муниципальной программы является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повышение эффективности деятельности органов местного самоуправления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, повышение качества муниципального управления.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 муниципальной программы были реализованы следующие мероприятия: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обеспечение деятельности органов местного самоуправления;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осуществление переданных государственных полномочий;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обеспечение деятельности органов местного самоуправления, содержания и эксплуатации зданий и объектов;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исполнение иных функций и полномочий органов местного самоуправления;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реализация полномочий органов местного самоуправления в сфере строительства,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15"/>
        <w:tabs>
          <w:tab w:val="left" w:pos="0" w:leader="none"/>
        </w:tabs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ru-RU"/>
        </w:rPr>
        <w:t xml:space="preserve">Кроме того,</w:t>
      </w:r>
      <w:r>
        <w:rPr>
          <w:color w:val="000000" w:themeColor="text1"/>
          <w:lang w:eastAsia="ru-RU"/>
        </w:rPr>
        <w:t xml:space="preserve"> в рамках программы предоставлял</w:t>
      </w:r>
      <w:r>
        <w:rPr>
          <w:color w:val="000000" w:themeColor="text1"/>
          <w:lang w:eastAsia="ru-RU"/>
        </w:rPr>
        <w:t xml:space="preserve">и</w:t>
      </w:r>
      <w:r>
        <w:rPr>
          <w:color w:val="000000" w:themeColor="text1"/>
          <w:lang w:eastAsia="ru-RU"/>
        </w:rPr>
        <w:t xml:space="preserve">сь субвенци</w:t>
      </w:r>
      <w:r>
        <w:rPr>
          <w:color w:val="000000" w:themeColor="text1"/>
          <w:lang w:eastAsia="ru-RU"/>
        </w:rPr>
        <w:t xml:space="preserve">и: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15"/>
        <w:tabs>
          <w:tab w:val="left" w:pos="0" w:leader="none"/>
        </w:tabs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ru-RU"/>
        </w:rPr>
        <w:t xml:space="preserve">на осуществление переданных полномочий Российской Федерации на государственную регистрацию актов гражданского состояния;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15"/>
        <w:tabs>
          <w:tab w:val="left" w:pos="0" w:leader="none"/>
        </w:tabs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ru-RU"/>
        </w:rPr>
        <w:t xml:space="preserve">на осуществление полномочий по хранению, комплектованию, учету и использованию архивных документов, относящихся </w:t>
      </w:r>
      <w:r>
        <w:rPr>
          <w:color w:val="000000" w:themeColor="text1"/>
          <w:lang w:eastAsia="ru-RU"/>
        </w:rPr>
        <w:t xml:space="preserve">к государственной собственности Ханты-Мансийского автономного округа </w:t>
      </w:r>
      <w:r>
        <w:rPr>
          <w:color w:val="000000" w:themeColor="text1"/>
          <w:lang w:eastAsia="ru-RU"/>
        </w:rPr>
        <w:t xml:space="preserve">– </w:t>
      </w:r>
      <w:r>
        <w:rPr>
          <w:color w:val="000000" w:themeColor="text1"/>
          <w:lang w:eastAsia="ru-RU"/>
        </w:rPr>
        <w:t xml:space="preserve">Югры;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15"/>
        <w:tabs>
          <w:tab w:val="left" w:pos="0" w:leader="none"/>
        </w:tabs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ru-RU"/>
        </w:rPr>
        <w:t xml:space="preserve">на осуществление отдельных государственных полномочий по созданию административных комиссий и определению перечня должностных ли</w:t>
      </w:r>
      <w:r>
        <w:rPr>
          <w:color w:val="000000" w:themeColor="text1"/>
          <w:lang w:eastAsia="ru-RU"/>
        </w:rPr>
        <w:t xml:space="preserve">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11.06.2010 №102-оз «Об административных правонарушениях»; 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15"/>
        <w:tabs>
          <w:tab w:val="left" w:pos="0" w:leader="none"/>
        </w:tabs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ru-RU"/>
        </w:rPr>
        <w:t xml:space="preserve">на</w:t>
      </w:r>
      <w:r>
        <w:rPr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  <w:t xml:space="preserve">осуществление отдельных государственных полномочий по созданию и осуществлению</w:t>
      </w:r>
      <w:r>
        <w:rPr>
          <w:color w:val="000000" w:themeColor="text1"/>
          <w:lang w:eastAsia="ru-RU"/>
        </w:rPr>
        <w:t xml:space="preserve"> деятельности</w:t>
      </w:r>
      <w:r>
        <w:rPr>
          <w:color w:val="000000" w:themeColor="text1"/>
          <w:lang w:eastAsia="ru-RU"/>
        </w:rPr>
        <w:t xml:space="preserve"> муниципальных комиссий по делам несов</w:t>
      </w:r>
      <w:r>
        <w:rPr>
          <w:color w:val="000000" w:themeColor="text1"/>
          <w:lang w:eastAsia="ru-RU"/>
        </w:rPr>
        <w:t xml:space="preserve">ершеннолетних и защите их прав;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ивности реализации муниципально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й программы осуществлялась по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ожидаемое значение которых достигнуто в полном объеме.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показателей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  <w:t xml:space="preserve">                         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253"/>
        <w:gridCol w:w="992"/>
        <w:gridCol w:w="1134"/>
        <w:gridCol w:w="1418"/>
        <w:gridCol w:w="1275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94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Наличие актуализированной Стратегии социально-экономического развития города Мегиона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да/нет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достигнут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1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Наличие Плана мероприятий по реализации Стратегии социально-экономического развития города Мегиона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да/нет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достигнут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68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Количество обоснованных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жалоб от органов местного самоуправления на качество транспортного и материально-технического обеспечения муниципальным казенным учреждением «Служба обеспечения»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76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Выполнение планов капитального строительства и ремонтных работ (по объектам, не включенным в Адресную инвестиционную программу Ханты-Мансийского автономного округа – Югры)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7,7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98,6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100,9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125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</w:rPr>
            </w:r>
          </w:p>
        </w:tc>
        <w:tc>
          <w:tcPr>
            <w:tcW w:w="4253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Доля граждан, обеспеченных мерами социальной поддержки, от числа граждан обратившихся за их получением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5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год муниципальная программа признана эффективной, присвоена оценка «отлично». 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 данной программе рекомендуется обеспечить необходимый уровень финансирования за счет средств местного бюджета.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.Формирование комфортной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городской среды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город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Мегион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постановлением ад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минист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рации города от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16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.20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23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№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1894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54 101,6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27 308,3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50,5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6 545,2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6 545,2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бюджет автономного округа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11 436,4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11 434,4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36 120,0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9 328,7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25,8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Основной целью программы является повышение качества и комфорта городской сред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ы на территории города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Мегион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before="20" w:after="0" w:line="240" w:lineRule="auto"/>
        <w:ind w:firstLine="708"/>
        <w:jc w:val="both"/>
        <w:rPr>
          <w:rFonts w:ascii="Times New Roman" w:hAnsi="Times New Roman" w:eastAsia="Calibri Light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рамках муниципальной программы реализуются мероприятия, направленные на исполнение регионального проекта «Формирование комфортной городской среды», направленного на достижение результатов национального проекта «Инфраструктура для жизни».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  <w:r>
        <w:rPr>
          <w:rFonts w:ascii="Times New Roman" w:hAnsi="Times New Roman" w:eastAsia="Calibri Light"/>
          <w:color w:val="000000" w:themeColor="text1"/>
          <w:sz w:val="24"/>
          <w:szCs w:val="24"/>
        </w:rPr>
      </w:r>
    </w:p>
    <w:p>
      <w:pPr>
        <w:pStyle w:val="904"/>
        <w:spacing w:before="20"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Достижение цели национального проекта оценивается включенным в муниципальную программу показателями, направленным на исполнение национального проекта: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spacing w:before="20"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«Количество благоустроенных общественных территорий»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spacing w:before="20"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«Доля граждан, принявших участие в решении вопросов развития городской среды, от общего количества граждан 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возрасте от 14 лет, проживающих в муниципальном образовании, на территории которого реализуются проекты по созданию комфортной городской среды».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Показатели исполнены.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before="20"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й программы осуществлялась по 4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которых достигнуто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spacing w:before="20"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Комплекс проц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ессных мероприятий «Повышение качества и комфорта территорий общего пользования» исполнен на 20,8%. Бюджетные ассигнования в сумме 25 110,0 тыс. рублей доведены публичным акционерным обществом «Славнефть-Мегионнефтегаз» (благотворительное пожертвование) на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 благоустройство центральной площади 29.08.2025. Срок реализации проекта по Соглашению пожертвования до 31.12.2026. В связи с сезонным характером выполнения работ, реализация проекта запланирована на 2026 год. Также образовалась экономия бюджетных средств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в  сумме 506,9 тыс. рублей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 по результатам проведенного аукциона (мероприятие «Благоустройство общественной территории «Скейт-Парк»).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Достижение  пока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зателей муниципальной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111"/>
        <w:gridCol w:w="992"/>
        <w:gridCol w:w="1134"/>
        <w:gridCol w:w="1418"/>
        <w:gridCol w:w="1417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30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благоустроенных дворовых территорий от общего количества дворовых территорий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благоустроенных дворовых территорий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4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муниципальном образовании, на территории которого реализуются проекты по созданию комфортной городской среды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42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благоустроенных общественных территорий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«удовлетворительно».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 данной программе рекомендуется сохранить уровень финансирования муниципальной программы за счет средств местного бюджета в очередном финансовом году при условии ее корректировки.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23. Молодежная по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литика города Мегиона.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ind w:firstLine="709"/>
        <w:jc w:val="left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Программа утверждена постанов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лением администрации города от 10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.202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3 №1867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(с изменениями).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На момент проведения оценки эффективности муниципальная программа не приведена в соответст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вие с решениям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и Думы города Мегиона от 12.12.2025 №42 «О бюджете городского округа Мегион Ханты-Мансийского автономного округа – Югры на 2026 год и плановый период 2027 и 2028 годов», от 25.12.2025 №43 «О внесении изменений в решение Думы города Мегиона от 09.12.2024 №4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27 «О бюджете городского округа Мегион Ханты-Мансийского автономного округа – Югры на 2025 год и плановый период 2026 и 2027 годов» (см изменениями). Оценка эффективности муниципальной программы  пр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  <w:t xml:space="preserve">оведена на основании годового отчета управления молодежной политики.</w:t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</w:p>
    <w:p>
      <w:pPr>
        <w:pStyle w:val="904"/>
        <w:spacing w:after="0" w:line="240" w:lineRule="auto"/>
        <w:ind w:firstLine="709"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center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Финансовое обеспечение муниципальной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ar-SA"/>
        </w:rPr>
        <w:t xml:space="preserve"> программы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right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  <w:lang w:eastAsia="ar-SA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9"/>
        <w:gridCol w:w="1638"/>
        <w:gridCol w:w="1305"/>
        <w:gridCol w:w="1221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restart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Источник финансирования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64" w:type="dxa"/>
            <w:gridSpan w:val="3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Объем бюджетных ассигнований на 2025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 год,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vMerge w:val="continue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ar-SA"/>
              </w:rPr>
            </w:r>
          </w:p>
        </w:tc>
        <w:tc>
          <w:tcPr>
            <w:tcW w:w="1638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Плановое финансирование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Исполнение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21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ar-SA"/>
              </w:rPr>
              <w:t xml:space="preserve">% исполнения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сего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104 168,0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99 706,4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95,7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бюджет автономного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15 000,0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15 000,0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9" w:type="dxa"/>
            <w:noWrap w:val="false"/>
            <w:textDirection w:val="lrTb"/>
            <w:vAlign w:val="top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638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89 168,0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84 706,4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21" w:type="dxa"/>
            <w:noWrap w:val="false"/>
            <w:textDirection w:val="lrTb"/>
            <w:vAlign w:val="center"/>
          </w:tcPr>
          <w:p>
            <w:pPr>
              <w:pStyle w:val="904"/>
              <w:tabs>
                <w:tab w:val="left" w:pos="0" w:leader="none"/>
              </w:tabs>
              <w:spacing w:after="0" w:line="240" w:lineRule="auto"/>
              <w:contextualSpacing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ar-SA"/>
              </w:rPr>
              <w:t xml:space="preserve">95,0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/>
          <w:color w:val="auto"/>
          <w:sz w:val="24"/>
          <w:szCs w:val="24"/>
          <w:highlight w:val="whit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Основной целью программы является </w:t>
      </w: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создание условий для реализации государственной молодежной политики на территории города Мегиона.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В рамках муниципальной программы были реализованы следующие комплексы процессных мероприятий: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организация и проведение мероприятий творческой, спортивной, профилактической, гражданско-патриотической и добровольческой направленности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городского уровня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реализация и обеспечение деятельности муниципальных учреждений молодежной политики;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организация временного трудоустройства несовершеннолетних граждан.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В рамках муниципальной программы реализуются мероприятия, направленные на исполнение региональных проектов «Россия – страна возможностей»,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none"/>
        </w:rPr>
        <w:t xml:space="preserve">«Мы вместе (Воспитание гармонично развитой личности)»,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направленных на достижение результатов национального проекта «Молодежь и дети».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  <w:highlight w:val="yellow"/>
        </w:rPr>
      </w:r>
    </w:p>
    <w:p>
      <w:pPr>
        <w:pStyle w:val="904"/>
        <w:spacing w:before="20"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Достижение цели национального проекта оценивается включенными в муниципальную программу показателями, направленным на исполнение национального проекта: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spacing w:before="20"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«Охват молодежи мероприятиями проводимыми на базе инфраструктуры молодежной политики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spacing w:before="20"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  <w:t xml:space="preserve">«Доля молодых людей, вовлеченных в мероприятия, направленные на профессиональное развитие»;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</w:r>
    </w:p>
    <w:p>
      <w:pPr>
        <w:spacing w:before="20"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  <w:t xml:space="preserve">«Доля молодых семе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  <w:t xml:space="preserve">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деятельность»;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</w:r>
    </w:p>
    <w:p>
      <w:pPr>
        <w:spacing w:before="20"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  <w:t xml:space="preserve">«Доля молодых людей, участвующих в проектах и программах, направленных на патриотическое воспитание».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  <w:lang w:val="ru-RU"/>
        </w:rPr>
        <w:t xml:space="preserve">Показатели достигнуты.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</w:r>
    </w:p>
    <w:p>
      <w:pPr>
        <w:pStyle w:val="904"/>
        <w:spacing w:before="20" w:after="0" w:line="240" w:lineRule="auto"/>
        <w:ind w:firstLine="708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Оценка эффективности реализации муниципальной программы осуществлялась по 11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 показателям, ожидаемое значение которых достигнуто в полном объеме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Подробная информация о ходе реализации муниципальной программы размещена на официальном сайте администрации города https://admmegion.ru/programs/municipal/ в разделе «Муниципальные программы».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Информация о степени достижения показателей реализации муниципальной программы представлена в таблице.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spacing w:after="0" w:line="240" w:lineRule="auto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spacing w:after="0" w:line="240" w:lineRule="auto"/>
        <w:jc w:val="center"/>
        <w:rPr>
          <w:rFonts w:ascii="Times New Roman" w:hAnsi="Times New Roman" w:eastAsia="Times New Roman"/>
          <w:color w:val="auto"/>
          <w:sz w:val="24"/>
          <w:szCs w:val="24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 xml:space="preserve">Достижение показателей муниципальной программы                                                                       </w:t>
      </w:r>
      <w:r>
        <w:rPr>
          <w:rFonts w:ascii="Times New Roman" w:hAnsi="Times New Roman" w:eastAsia="Times New Roman"/>
          <w:color w:val="auto"/>
          <w:sz w:val="24"/>
          <w:szCs w:val="24"/>
        </w:rPr>
      </w:r>
      <w:r>
        <w:rPr>
          <w:rFonts w:ascii="Times New Roman" w:hAnsi="Times New Roman" w:eastAsia="Times New Roman"/>
          <w:color w:val="auto"/>
          <w:sz w:val="24"/>
          <w:szCs w:val="24"/>
        </w:rPr>
      </w:r>
    </w:p>
    <w:p>
      <w:pPr>
        <w:pStyle w:val="904"/>
        <w:spacing w:after="0" w:line="240" w:lineRule="auto"/>
        <w:jc w:val="right"/>
        <w:rPr>
          <w:rFonts w:ascii="Times New Roman" w:hAnsi="Times New Roman" w:eastAsia="Times New Roman"/>
          <w:color w:val="auto"/>
          <w:sz w:val="20"/>
          <w:szCs w:val="20"/>
        </w:rPr>
      </w:pPr>
      <w:r>
        <w:rPr>
          <w:rFonts w:ascii="Times New Roman" w:hAnsi="Times New Roman" w:eastAsia="Times New Roman"/>
          <w:color w:val="auto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  <w:r>
        <w:rPr>
          <w:rFonts w:ascii="Times New Roman" w:hAnsi="Times New Roman" w:eastAsia="Times New Roman"/>
          <w:color w:val="auto"/>
          <w:sz w:val="20"/>
          <w:szCs w:val="20"/>
        </w:rPr>
      </w:r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2"/>
        <w:gridCol w:w="4111"/>
        <w:gridCol w:w="992"/>
        <w:gridCol w:w="1134"/>
        <w:gridCol w:w="1418"/>
        <w:gridCol w:w="1417"/>
      </w:tblGrid>
      <w:tr>
        <w:trPr>
          <w:trHeight w:val="765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Ед.изм.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Плановое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Фактическое значение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ru-RU"/>
              </w:rPr>
              <w:t xml:space="preserve">Процент достижения, %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30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граждан, вовлеченных в добровольческую деятельность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7 467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7 467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100,0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принявших участие в мероприятиях гражданско-патриотической направленности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8 213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70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принявших участие в мероприятиях творческой направленности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833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4 833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9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детей в возрасте от 14 до 18 лет, трудоустроенных на временные работы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617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34,2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4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мероприятий в сфере молодежной политики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102,7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6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отделом молодежной политики администрации города мероприятий городского уровня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93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82" w:type="dxa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учреждений,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воспользовавшихся налоговой льготой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68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Охват молодежи мероприятиями проводимыми на базе инфраструктуры молодежной политики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7,19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7,19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68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1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молодых людей, вовлеченных в мероприятия, направленные на профессиональное развитие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33,28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33,28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68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411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Доля молодых людей, участвующих в проектах и программах, направленных на патриотическое воспитание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70,06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70,06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568"/>
        </w:trPr>
        <w:tblPrEx/>
        <w:tc>
          <w:tcPr>
            <w:tcW w:w="582" w:type="dxa"/>
            <w:vMerge w:val="restart"/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auto"/>
                <w:sz w:val="24"/>
                <w:szCs w:val="24"/>
                <w:lang w:eastAsia="ru-RU"/>
              </w:rPr>
            </w:r>
          </w:p>
        </w:tc>
        <w:tc>
          <w:tcPr>
            <w:tcW w:w="4111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Доля молодых с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емей, в том числе молодых семей, имеющих детей, участвующих в мероприятиях по продвижению традиционных духовно-нравственных ценностей, в том числе проекты и программы, направленные на патриотическое воспитание, в добровольческую и общественную деятельность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15,07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15,07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ascii="Times New Roman" w:hAnsi="Times New Roman" w:eastAsia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  <w:r>
        <w:rPr>
          <w:rFonts w:ascii="Times New Roman" w:hAnsi="Times New Roman" w:eastAsia="Times New Roman"/>
          <w:color w:val="ff0000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По результатам реализации за 2025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 год муниципальная программа признана эффективной, присвоена оценка «хорошо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eastAsia="ru-RU"/>
        </w:rPr>
        <w:t xml:space="preserve">».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 данной программе рекомендуется сохранить прежний уровень финансирования за счет средств местного бюджета в очередном финансовом году.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ab/>
        <w:t xml:space="preserve">Ответственному исполнителю рекомендуется обеспечивать своевременное внесение изменений в муниципальную программу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основании пункта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>
        <w:rPr>
          <w:rFonts w:ascii="Times New Roman" w:hAnsi="Times New Roman" w:eastAsia="Calibri Light" w:cs="Times New Roman"/>
          <w:color w:val="000000" w:themeColor="text1"/>
          <w:sz w:val="24"/>
          <w:szCs w:val="24"/>
        </w:rPr>
        <w:t xml:space="preserve"> Порядка принятия решения о разработке муниципальных программ города Мегиона, их формирования, утверждения и реализации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утвержденного постановлением администрации города от 21.06.2024 №1287 «О порядке разработки и реализации муниципальных программ города Мегиона» (с изменениями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).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contextualSpacing/>
        <w:jc w:val="both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904"/>
        <w:tabs>
          <w:tab w:val="left" w:pos="0" w:leader="none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915"/>
        <w:tabs>
          <w:tab w:val="left" w:pos="0" w:leader="none"/>
        </w:tabs>
        <w:ind w:left="0" w:firstLine="709"/>
        <w:contextualSpacing/>
        <w:rPr>
          <w:color w:val="ff0000"/>
          <w:vertAlign w:val="superscript"/>
        </w:rPr>
        <w:sectPr>
          <w:headerReference w:type="default" r:id="rId9"/>
          <w:footnotePr/>
          <w:endnotePr/>
          <w:type w:val="nextPage"/>
          <w:pgSz w:w="11905" w:h="16838" w:orient="portrait"/>
          <w:pgMar w:top="1134" w:right="567" w:bottom="1134" w:left="1701" w:header="720" w:footer="720" w:gutter="0"/>
          <w:cols w:num="1" w:sep="0" w:space="720" w:equalWidth="1"/>
          <w:docGrid w:linePitch="360"/>
          <w:titlePg/>
        </w:sectPr>
      </w:pPr>
      <w:r>
        <w:rPr>
          <w:color w:val="ff0000"/>
          <w:vertAlign w:val="superscript"/>
          <w:lang w:eastAsia="ru-RU"/>
        </w:rPr>
      </w:r>
      <w:r>
        <w:rPr>
          <w:color w:val="ff0000"/>
          <w:vertAlign w:val="superscript"/>
        </w:rPr>
      </w:r>
      <w:r>
        <w:rPr>
          <w:color w:val="ff0000"/>
          <w:vertAlign w:val="superscript"/>
        </w:rPr>
      </w:r>
    </w:p>
    <w:p>
      <w:pPr>
        <w:pStyle w:val="915"/>
        <w:tabs>
          <w:tab w:val="left" w:pos="0" w:leader="none"/>
        </w:tabs>
        <w:ind w:left="0" w:firstLine="709"/>
        <w:contextualSpacing/>
        <w:jc w:val="center"/>
        <w:rPr>
          <w:color w:val="000000" w:themeColor="text1"/>
        </w:rPr>
      </w:pPr>
      <w:r>
        <w:rPr>
          <w:color w:val="000000" w:themeColor="text1"/>
          <w:lang w:eastAsia="ru-RU"/>
        </w:rPr>
        <w:t xml:space="preserve">Исполнени</w:t>
      </w:r>
      <w:r>
        <w:rPr>
          <w:color w:val="000000" w:themeColor="text1"/>
          <w:lang w:eastAsia="ru-RU"/>
        </w:rPr>
        <w:t xml:space="preserve">е муниципальных программ за 2025</w:t>
      </w:r>
      <w:r>
        <w:rPr>
          <w:color w:val="000000" w:themeColor="text1"/>
          <w:lang w:eastAsia="ru-RU"/>
        </w:rPr>
        <w:t xml:space="preserve"> год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15"/>
        <w:tabs>
          <w:tab w:val="left" w:pos="0" w:leader="none"/>
        </w:tabs>
        <w:ind w:left="0" w:firstLine="709"/>
        <w:contextualSpacing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  <w:lang w:eastAsia="ru-RU"/>
        </w:rPr>
      </w:r>
      <w:r>
        <w:rPr>
          <w:color w:val="000000" w:themeColor="text1"/>
          <w:sz w:val="20"/>
          <w:szCs w:val="20"/>
        </w:rPr>
      </w:r>
      <w:r>
        <w:rPr>
          <w:color w:val="000000" w:themeColor="text1"/>
          <w:sz w:val="20"/>
          <w:szCs w:val="20"/>
        </w:rPr>
      </w:r>
    </w:p>
    <w:tbl>
      <w:tblPr>
        <w:tblW w:w="14899" w:type="dxa"/>
        <w:tblInd w:w="9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9"/>
        <w:gridCol w:w="6056"/>
        <w:gridCol w:w="1298"/>
        <w:gridCol w:w="1418"/>
        <w:gridCol w:w="1417"/>
        <w:gridCol w:w="1560"/>
        <w:gridCol w:w="1417"/>
        <w:gridCol w:w="1134"/>
      </w:tblGrid>
      <w:tr>
        <w:trPr>
          <w:trHeight w:val="312"/>
          <w:tblHeader/>
        </w:trPr>
        <w:tblPrEx/>
        <w:tc>
          <w:tcPr>
            <w:tcW w:w="5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программы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33" w:type="dxa"/>
            <w:gridSpan w:val="3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Показатели реализации муниципальной программы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111" w:type="dxa"/>
            <w:gridSpan w:val="3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Объем расходов,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391"/>
          <w:tblHeader/>
        </w:trPr>
        <w:tblPrEx/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6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Количество, всего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исполнение 95% и более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% исполненных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План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Факт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Исполнение, %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51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систе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мы гражданской защиты населения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66 843,3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66 228,8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60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Улучшени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условий и охраны труда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2 612,0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2 596,9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9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Поддержка и развитие малого и среднего предприн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имательства на территории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4 536,6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4 536,6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15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гражданского общества на территории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города Мегиона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6 488,7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6 443,7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78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Управление муниципальными финансами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45 130,1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44 496,3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52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Культурное пространство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723 133,7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711 121,7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4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муниципальной службы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350,0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350,0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87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Информационное обеспечение деятельности органов местного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самоуправления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36 768,3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36 074,5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72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физической ку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льтуры и спорта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укрепление общественного здоровья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435 893,7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432 588,8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216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муниципальным имуществом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75,0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36 890,8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30 816,4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83,5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21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жилищной сферы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 территории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1 064 369,2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1 049 959,7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4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информационного обще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ства на территории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44 504,8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44 247,3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98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транспортной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771 252,6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718 756,1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93,2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78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жилищно-коммунального комплекса и повышение энергетич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еской эффективности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763 959,9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659 057,6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7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Мероприятия в области градостроительной деятел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ьности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11 156,9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9 985,4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89,5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9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Формирование доступной среды для инвалидов и других маломобильных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групп населения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территории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14 723,5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7 786,5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52,9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4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Профилактика правонарушений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сфере общественного порядка,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незаконного оборота и зло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употребления наркотиками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80,0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1 744,2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1 658,4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95,1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68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Укрепление межнационального и межконфессионального согласия, профилактика экстремизма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терроризма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9 574,9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9 551,5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99,8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13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образования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3 739 306,3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3 676 572,3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37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итие экологической безопасности на территории города Мегиона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19 342,2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18 049,6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93,3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70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Развитие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униципального управления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643 699,7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621 881,0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96,6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70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Формирование комфортной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городской среды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Мегион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54 101,6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27 308,3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50,5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70"/>
        </w:trPr>
        <w:tblPrEx/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056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Молодежная политика города Мегиона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100,0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104 168,0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99 706,4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95,7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70"/>
        </w:trPr>
        <w:tblPrEx/>
        <w:tc>
          <w:tcPr>
            <w:tcW w:w="6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98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8 600 551,0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8 279 773,8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0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96,3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/>
    <w:sectPr>
      <w:footnotePr/>
      <w:endnotePr/>
      <w:type w:val="nextPage"/>
      <w:pgSz w:w="16838" w:h="11905" w:orient="landscape"/>
      <w:pgMar w:top="1701" w:right="1134" w:bottom="567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</w:font>
  <w:font w:name="Wingdings">
    <w:panose1 w:val="05000000000000000000"/>
  </w:font>
  <w:font w:name="Symbol">
    <w:panose1 w:val="05050102010706020507"/>
  </w:font>
  <w:font w:name="SimSun">
    <w:panose1 w:val="02010600030101010101"/>
  </w:font>
  <w:font w:name="Tahoma">
    <w:panose1 w:val="020B0604030504040204"/>
  </w:font>
  <w:font w:name="Verdana">
    <w:panose1 w:val="020B0604030504040204"/>
  </w:font>
  <w:font w:name="Lucida Sans Unicode">
    <w:panose1 w:val="020B0602030504020204"/>
  </w:font>
  <w:font w:name="Courier New">
    <w:panose1 w:val="02070309020205020404"/>
  </w:font>
  <w:font w:name="Arial">
    <w:panose1 w:val="020B0604020202020204"/>
  </w:font>
  <w:font w:name="+mn-ea">
    <w:panose1 w:val="02000603000000000000"/>
  </w:font>
  <w:font w:name="Times New Roman">
    <w:panose1 w:val="02020603050405020304"/>
  </w:font>
  <w:font w:name="Batang">
    <w:panose1 w:val="02030600000101010101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22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91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b/>
        <w:i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tabs>
          <w:tab w:val="num" w:pos="720" w:leader="none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•"/>
      <w:lvlJc w:val="left"/>
      <w:pPr>
        <w:tabs>
          <w:tab w:val="num" w:pos="1440" w:leader="none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isLgl w:val="false"/>
      <w:suff w:val="tab"/>
      <w:lvlText w:val="•"/>
      <w:lvlJc w:val="left"/>
      <w:pPr>
        <w:tabs>
          <w:tab w:val="num" w:pos="2160" w:leader="none"/>
        </w:tabs>
        <w:ind w:left="2160" w:hanging="360"/>
      </w:pPr>
      <w:rPr>
        <w:rFonts w:ascii="Times New Roman" w:hAnsi="Times New Roman"/>
      </w:rPr>
    </w:lvl>
    <w:lvl w:ilvl="3">
      <w:start w:val="1"/>
      <w:numFmt w:val="bullet"/>
      <w:isLgl w:val="false"/>
      <w:suff w:val="tab"/>
      <w:lvlText w:val="•"/>
      <w:lvlJc w:val="left"/>
      <w:pPr>
        <w:tabs>
          <w:tab w:val="num" w:pos="2880" w:leader="none"/>
        </w:tabs>
        <w:ind w:left="2880" w:hanging="360"/>
      </w:pPr>
      <w:rPr>
        <w:rFonts w:ascii="Times New Roman" w:hAnsi="Times New Roman"/>
      </w:rPr>
    </w:lvl>
    <w:lvl w:ilvl="4">
      <w:start w:val="1"/>
      <w:numFmt w:val="bullet"/>
      <w:isLgl w:val="false"/>
      <w:suff w:val="tab"/>
      <w:lvlText w:val="•"/>
      <w:lvlJc w:val="left"/>
      <w:pPr>
        <w:tabs>
          <w:tab w:val="num" w:pos="3600" w:leader="none"/>
        </w:tabs>
        <w:ind w:left="3600" w:hanging="360"/>
      </w:pPr>
      <w:rPr>
        <w:rFonts w:ascii="Times New Roman" w:hAnsi="Times New Roman"/>
      </w:rPr>
    </w:lvl>
    <w:lvl w:ilvl="5">
      <w:start w:val="1"/>
      <w:numFmt w:val="bullet"/>
      <w:isLgl w:val="false"/>
      <w:suff w:val="tab"/>
      <w:lvlText w:val="•"/>
      <w:lvlJc w:val="left"/>
      <w:pPr>
        <w:tabs>
          <w:tab w:val="num" w:pos="4320" w:leader="none"/>
        </w:tabs>
        <w:ind w:left="4320" w:hanging="360"/>
      </w:pPr>
      <w:rPr>
        <w:rFonts w:ascii="Times New Roman" w:hAnsi="Times New Roman"/>
      </w:rPr>
    </w:lvl>
    <w:lvl w:ilvl="6">
      <w:start w:val="1"/>
      <w:numFmt w:val="bullet"/>
      <w:isLgl w:val="false"/>
      <w:suff w:val="tab"/>
      <w:lvlText w:val="•"/>
      <w:lvlJc w:val="left"/>
      <w:pPr>
        <w:tabs>
          <w:tab w:val="num" w:pos="5040" w:leader="none"/>
        </w:tabs>
        <w:ind w:left="5040" w:hanging="360"/>
      </w:pPr>
      <w:rPr>
        <w:rFonts w:ascii="Times New Roman" w:hAnsi="Times New Roman"/>
      </w:rPr>
    </w:lvl>
    <w:lvl w:ilvl="7">
      <w:start w:val="1"/>
      <w:numFmt w:val="bullet"/>
      <w:isLgl w:val="false"/>
      <w:suff w:val="tab"/>
      <w:lvlText w:val="•"/>
      <w:lvlJc w:val="left"/>
      <w:pPr>
        <w:tabs>
          <w:tab w:val="num" w:pos="5760" w:leader="none"/>
        </w:tabs>
        <w:ind w:left="5760" w:hanging="360"/>
      </w:pPr>
      <w:rPr>
        <w:rFonts w:ascii="Times New Roman" w:hAnsi="Times New Roman"/>
      </w:rPr>
    </w:lvl>
    <w:lvl w:ilvl="8">
      <w:start w:val="1"/>
      <w:numFmt w:val="bullet"/>
      <w:isLgl w:val="false"/>
      <w:suff w:val="tab"/>
      <w:lvlText w:val="•"/>
      <w:lvlJc w:val="left"/>
      <w:pPr>
        <w:tabs>
          <w:tab w:val="num" w:pos="6480" w:leader="none"/>
        </w:tabs>
        <w:ind w:left="6480" w:hanging="360"/>
      </w:pPr>
      <w:rPr>
        <w:rFonts w:ascii="Times New Roman" w:hAnsi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4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5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tabs>
          <w:tab w:val="num" w:pos="720" w:leader="none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•"/>
      <w:lvlJc w:val="left"/>
      <w:pPr>
        <w:tabs>
          <w:tab w:val="num" w:pos="1440" w:leader="none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isLgl w:val="false"/>
      <w:suff w:val="tab"/>
      <w:lvlText w:val="•"/>
      <w:lvlJc w:val="left"/>
      <w:pPr>
        <w:tabs>
          <w:tab w:val="num" w:pos="2160" w:leader="none"/>
        </w:tabs>
        <w:ind w:left="2160" w:hanging="360"/>
      </w:pPr>
      <w:rPr>
        <w:rFonts w:ascii="Times New Roman" w:hAnsi="Times New Roman"/>
      </w:rPr>
    </w:lvl>
    <w:lvl w:ilvl="3">
      <w:start w:val="1"/>
      <w:numFmt w:val="bullet"/>
      <w:isLgl w:val="false"/>
      <w:suff w:val="tab"/>
      <w:lvlText w:val="•"/>
      <w:lvlJc w:val="left"/>
      <w:pPr>
        <w:tabs>
          <w:tab w:val="num" w:pos="2880" w:leader="none"/>
        </w:tabs>
        <w:ind w:left="2880" w:hanging="360"/>
      </w:pPr>
      <w:rPr>
        <w:rFonts w:ascii="Times New Roman" w:hAnsi="Times New Roman"/>
      </w:rPr>
    </w:lvl>
    <w:lvl w:ilvl="4">
      <w:start w:val="1"/>
      <w:numFmt w:val="bullet"/>
      <w:isLgl w:val="false"/>
      <w:suff w:val="tab"/>
      <w:lvlText w:val="•"/>
      <w:lvlJc w:val="left"/>
      <w:pPr>
        <w:tabs>
          <w:tab w:val="num" w:pos="3600" w:leader="none"/>
        </w:tabs>
        <w:ind w:left="3600" w:hanging="360"/>
      </w:pPr>
      <w:rPr>
        <w:rFonts w:ascii="Times New Roman" w:hAnsi="Times New Roman"/>
      </w:rPr>
    </w:lvl>
    <w:lvl w:ilvl="5">
      <w:start w:val="1"/>
      <w:numFmt w:val="bullet"/>
      <w:isLgl w:val="false"/>
      <w:suff w:val="tab"/>
      <w:lvlText w:val="•"/>
      <w:lvlJc w:val="left"/>
      <w:pPr>
        <w:tabs>
          <w:tab w:val="num" w:pos="4320" w:leader="none"/>
        </w:tabs>
        <w:ind w:left="4320" w:hanging="360"/>
      </w:pPr>
      <w:rPr>
        <w:rFonts w:ascii="Times New Roman" w:hAnsi="Times New Roman"/>
      </w:rPr>
    </w:lvl>
    <w:lvl w:ilvl="6">
      <w:start w:val="1"/>
      <w:numFmt w:val="bullet"/>
      <w:isLgl w:val="false"/>
      <w:suff w:val="tab"/>
      <w:lvlText w:val="•"/>
      <w:lvlJc w:val="left"/>
      <w:pPr>
        <w:tabs>
          <w:tab w:val="num" w:pos="5040" w:leader="none"/>
        </w:tabs>
        <w:ind w:left="5040" w:hanging="360"/>
      </w:pPr>
      <w:rPr>
        <w:rFonts w:ascii="Times New Roman" w:hAnsi="Times New Roman"/>
      </w:rPr>
    </w:lvl>
    <w:lvl w:ilvl="7">
      <w:start w:val="1"/>
      <w:numFmt w:val="bullet"/>
      <w:isLgl w:val="false"/>
      <w:suff w:val="tab"/>
      <w:lvlText w:val="•"/>
      <w:lvlJc w:val="left"/>
      <w:pPr>
        <w:tabs>
          <w:tab w:val="num" w:pos="5760" w:leader="none"/>
        </w:tabs>
        <w:ind w:left="5760" w:hanging="360"/>
      </w:pPr>
      <w:rPr>
        <w:rFonts w:ascii="Times New Roman" w:hAnsi="Times New Roman"/>
      </w:rPr>
    </w:lvl>
    <w:lvl w:ilvl="8">
      <w:start w:val="1"/>
      <w:numFmt w:val="bullet"/>
      <w:isLgl w:val="false"/>
      <w:suff w:val="tab"/>
      <w:lvlText w:val="•"/>
      <w:lvlJc w:val="left"/>
      <w:pPr>
        <w:tabs>
          <w:tab w:val="num" w:pos="6480" w:leader="none"/>
        </w:tabs>
        <w:ind w:left="6480" w:hanging="360"/>
      </w:pPr>
      <w:rPr>
        <w:rFonts w:ascii="Times New Roman" w:hAnsi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4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5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4"/>
  </w:num>
  <w:num w:numId="5">
    <w:abstractNumId w:val="24"/>
  </w:num>
  <w:num w:numId="6">
    <w:abstractNumId w:val="23"/>
  </w:num>
  <w:num w:numId="7">
    <w:abstractNumId w:val="12"/>
  </w:num>
  <w:num w:numId="8">
    <w:abstractNumId w:val="13"/>
  </w:num>
  <w:num w:numId="9">
    <w:abstractNumId w:val="2"/>
  </w:num>
  <w:num w:numId="10">
    <w:abstractNumId w:val="3"/>
  </w:num>
  <w:num w:numId="11">
    <w:abstractNumId w:val="15"/>
  </w:num>
  <w:num w:numId="12">
    <w:abstractNumId w:val="17"/>
  </w:num>
  <w:num w:numId="13">
    <w:abstractNumId w:val="5"/>
  </w:num>
  <w:num w:numId="14">
    <w:abstractNumId w:val="0"/>
  </w:num>
  <w:num w:numId="15">
    <w:abstractNumId w:val="9"/>
  </w:num>
  <w:num w:numId="16">
    <w:abstractNumId w:val="22"/>
  </w:num>
  <w:num w:numId="17">
    <w:abstractNumId w:val="25"/>
  </w:num>
  <w:num w:numId="18">
    <w:abstractNumId w:val="8"/>
  </w:num>
  <w:num w:numId="19">
    <w:abstractNumId w:val="7"/>
  </w:num>
  <w:num w:numId="20">
    <w:abstractNumId w:val="6"/>
  </w:num>
  <w:num w:numId="21">
    <w:abstractNumId w:val="20"/>
  </w:num>
  <w:num w:numId="22">
    <w:abstractNumId w:val="11"/>
  </w:num>
  <w:num w:numId="23">
    <w:abstractNumId w:val="1"/>
  </w:num>
  <w:num w:numId="24">
    <w:abstractNumId w:val="16"/>
  </w:num>
  <w:num w:numId="25">
    <w:abstractNumId w:val="2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6">
    <w:name w:val="Heading 1"/>
    <w:basedOn w:val="904"/>
    <w:next w:val="904"/>
    <w:link w:val="72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7">
    <w:name w:val="Heading 1 Char"/>
    <w:link w:val="726"/>
    <w:uiPriority w:val="9"/>
    <w:rPr>
      <w:rFonts w:ascii="Arial" w:hAnsi="Arial" w:eastAsia="Arial" w:cs="Arial"/>
      <w:sz w:val="40"/>
      <w:szCs w:val="40"/>
    </w:rPr>
  </w:style>
  <w:style w:type="paragraph" w:styleId="728">
    <w:name w:val="Heading 2"/>
    <w:basedOn w:val="904"/>
    <w:next w:val="904"/>
    <w:link w:val="729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9">
    <w:name w:val="Heading 2 Char"/>
    <w:link w:val="728"/>
    <w:uiPriority w:val="9"/>
    <w:rPr>
      <w:rFonts w:ascii="Arial" w:hAnsi="Arial" w:eastAsia="Arial" w:cs="Arial"/>
      <w:sz w:val="34"/>
    </w:rPr>
  </w:style>
  <w:style w:type="paragraph" w:styleId="730">
    <w:name w:val="Heading 3"/>
    <w:basedOn w:val="904"/>
    <w:next w:val="904"/>
    <w:link w:val="73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1">
    <w:name w:val="Heading 3 Char"/>
    <w:link w:val="730"/>
    <w:uiPriority w:val="9"/>
    <w:rPr>
      <w:rFonts w:ascii="Arial" w:hAnsi="Arial" w:eastAsia="Arial" w:cs="Arial"/>
      <w:sz w:val="30"/>
      <w:szCs w:val="30"/>
    </w:rPr>
  </w:style>
  <w:style w:type="paragraph" w:styleId="732">
    <w:name w:val="Heading 4"/>
    <w:basedOn w:val="904"/>
    <w:next w:val="904"/>
    <w:link w:val="73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3">
    <w:name w:val="Heading 4 Char"/>
    <w:link w:val="732"/>
    <w:uiPriority w:val="9"/>
    <w:rPr>
      <w:rFonts w:ascii="Arial" w:hAnsi="Arial" w:eastAsia="Arial" w:cs="Arial"/>
      <w:b/>
      <w:bCs/>
      <w:sz w:val="26"/>
      <w:szCs w:val="26"/>
    </w:rPr>
  </w:style>
  <w:style w:type="paragraph" w:styleId="734">
    <w:name w:val="Heading 5"/>
    <w:basedOn w:val="904"/>
    <w:next w:val="904"/>
    <w:link w:val="735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5">
    <w:name w:val="Heading 5 Char"/>
    <w:link w:val="734"/>
    <w:uiPriority w:val="9"/>
    <w:rPr>
      <w:rFonts w:ascii="Arial" w:hAnsi="Arial" w:eastAsia="Arial" w:cs="Arial"/>
      <w:b/>
      <w:bCs/>
      <w:sz w:val="24"/>
      <w:szCs w:val="24"/>
    </w:rPr>
  </w:style>
  <w:style w:type="paragraph" w:styleId="736">
    <w:name w:val="Heading 6"/>
    <w:basedOn w:val="904"/>
    <w:next w:val="904"/>
    <w:link w:val="73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7">
    <w:name w:val="Heading 6 Char"/>
    <w:link w:val="736"/>
    <w:uiPriority w:val="9"/>
    <w:rPr>
      <w:rFonts w:ascii="Arial" w:hAnsi="Arial" w:eastAsia="Arial" w:cs="Arial"/>
      <w:b/>
      <w:bCs/>
      <w:sz w:val="22"/>
      <w:szCs w:val="22"/>
    </w:rPr>
  </w:style>
  <w:style w:type="paragraph" w:styleId="738">
    <w:name w:val="Heading 7"/>
    <w:basedOn w:val="904"/>
    <w:next w:val="904"/>
    <w:link w:val="739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9">
    <w:name w:val="Heading 7 Char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0">
    <w:name w:val="Heading 8"/>
    <w:basedOn w:val="904"/>
    <w:next w:val="904"/>
    <w:link w:val="741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1">
    <w:name w:val="Heading 8 Char"/>
    <w:link w:val="740"/>
    <w:uiPriority w:val="9"/>
    <w:rPr>
      <w:rFonts w:ascii="Arial" w:hAnsi="Arial" w:eastAsia="Arial" w:cs="Arial"/>
      <w:i/>
      <w:iCs/>
      <w:sz w:val="22"/>
      <w:szCs w:val="22"/>
    </w:rPr>
  </w:style>
  <w:style w:type="paragraph" w:styleId="742">
    <w:name w:val="Heading 9"/>
    <w:basedOn w:val="904"/>
    <w:next w:val="904"/>
    <w:link w:val="74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>
    <w:name w:val="Heading 9 Char"/>
    <w:link w:val="742"/>
    <w:uiPriority w:val="9"/>
    <w:rPr>
      <w:rFonts w:ascii="Arial" w:hAnsi="Arial" w:eastAsia="Arial" w:cs="Arial"/>
      <w:i/>
      <w:iCs/>
      <w:sz w:val="21"/>
      <w:szCs w:val="21"/>
    </w:rPr>
  </w:style>
  <w:style w:type="paragraph" w:styleId="744">
    <w:name w:val="List Paragraph"/>
    <w:basedOn w:val="904"/>
    <w:uiPriority w:val="34"/>
    <w:qFormat/>
    <w:pPr>
      <w:ind w:left="720"/>
      <w:contextualSpacing/>
    </w:pPr>
  </w:style>
  <w:style w:type="paragraph" w:styleId="745">
    <w:name w:val="No Spacing"/>
    <w:uiPriority w:val="1"/>
    <w:qFormat/>
    <w:pPr>
      <w:spacing w:before="0" w:after="0" w:line="240" w:lineRule="auto"/>
    </w:pPr>
  </w:style>
  <w:style w:type="paragraph" w:styleId="746">
    <w:name w:val="Title"/>
    <w:basedOn w:val="904"/>
    <w:next w:val="904"/>
    <w:link w:val="74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47">
    <w:name w:val="Title Char"/>
    <w:link w:val="746"/>
    <w:uiPriority w:val="10"/>
    <w:rPr>
      <w:sz w:val="48"/>
      <w:szCs w:val="48"/>
    </w:rPr>
  </w:style>
  <w:style w:type="paragraph" w:styleId="748">
    <w:name w:val="Subtitle"/>
    <w:basedOn w:val="904"/>
    <w:next w:val="904"/>
    <w:link w:val="749"/>
    <w:uiPriority w:val="11"/>
    <w:qFormat/>
    <w:pPr>
      <w:spacing w:before="200" w:after="200"/>
    </w:pPr>
    <w:rPr>
      <w:sz w:val="24"/>
      <w:szCs w:val="24"/>
    </w:rPr>
  </w:style>
  <w:style w:type="character" w:styleId="749">
    <w:name w:val="Subtitle Char"/>
    <w:link w:val="748"/>
    <w:uiPriority w:val="11"/>
    <w:rPr>
      <w:sz w:val="24"/>
      <w:szCs w:val="24"/>
    </w:rPr>
  </w:style>
  <w:style w:type="paragraph" w:styleId="750">
    <w:name w:val="Quote"/>
    <w:basedOn w:val="904"/>
    <w:next w:val="904"/>
    <w:link w:val="751"/>
    <w:uiPriority w:val="29"/>
    <w:qFormat/>
    <w:pPr>
      <w:ind w:left="720" w:right="720"/>
    </w:pPr>
    <w:rPr>
      <w:i/>
    </w:rPr>
  </w:style>
  <w:style w:type="character" w:styleId="751">
    <w:name w:val="Quote Char"/>
    <w:link w:val="750"/>
    <w:uiPriority w:val="29"/>
    <w:rPr>
      <w:i/>
    </w:rPr>
  </w:style>
  <w:style w:type="paragraph" w:styleId="752">
    <w:name w:val="Intense Quote"/>
    <w:basedOn w:val="904"/>
    <w:next w:val="904"/>
    <w:link w:val="75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53">
    <w:name w:val="Intense Quote Char"/>
    <w:link w:val="752"/>
    <w:uiPriority w:val="30"/>
    <w:rPr>
      <w:i/>
    </w:rPr>
  </w:style>
  <w:style w:type="paragraph" w:styleId="754">
    <w:name w:val="Header"/>
    <w:basedOn w:val="904"/>
    <w:link w:val="75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55">
    <w:name w:val="Header Char"/>
    <w:link w:val="754"/>
    <w:uiPriority w:val="99"/>
  </w:style>
  <w:style w:type="paragraph" w:styleId="756">
    <w:name w:val="Footer"/>
    <w:basedOn w:val="904"/>
    <w:link w:val="75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57">
    <w:name w:val="Footer Char"/>
    <w:link w:val="756"/>
    <w:uiPriority w:val="99"/>
  </w:style>
  <w:style w:type="paragraph" w:styleId="758">
    <w:name w:val="Caption"/>
    <w:basedOn w:val="904"/>
    <w:next w:val="904"/>
    <w:link w:val="7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9">
    <w:name w:val="Caption Char"/>
    <w:link w:val="758"/>
    <w:uiPriority w:val="35"/>
    <w:rPr>
      <w:b/>
      <w:bCs/>
      <w:color w:val="4f81bd" w:themeColor="accent1"/>
      <w:sz w:val="18"/>
      <w:szCs w:val="18"/>
    </w:rPr>
  </w:style>
  <w:style w:type="table" w:styleId="76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9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9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9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9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0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0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0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6">
    <w:name w:val="Hyperlink"/>
    <w:uiPriority w:val="99"/>
    <w:unhideWhenUsed/>
    <w:rPr>
      <w:color w:val="0000ff" w:themeColor="hyperlink"/>
      <w:u w:val="single"/>
    </w:rPr>
  </w:style>
  <w:style w:type="paragraph" w:styleId="887">
    <w:name w:val="footnote text"/>
    <w:basedOn w:val="904"/>
    <w:link w:val="888"/>
    <w:uiPriority w:val="99"/>
    <w:semiHidden/>
    <w:unhideWhenUsed/>
    <w:pPr>
      <w:spacing w:after="40" w:line="240" w:lineRule="auto"/>
    </w:pPr>
    <w:rPr>
      <w:sz w:val="18"/>
    </w:rPr>
  </w:style>
  <w:style w:type="character" w:styleId="888">
    <w:name w:val="Footnote Text Char"/>
    <w:link w:val="887"/>
    <w:uiPriority w:val="99"/>
    <w:rPr>
      <w:sz w:val="18"/>
    </w:rPr>
  </w:style>
  <w:style w:type="character" w:styleId="889">
    <w:name w:val="footnote reference"/>
    <w:uiPriority w:val="99"/>
    <w:unhideWhenUsed/>
    <w:rPr>
      <w:vertAlign w:val="superscript"/>
    </w:rPr>
  </w:style>
  <w:style w:type="paragraph" w:styleId="890">
    <w:name w:val="endnote text"/>
    <w:basedOn w:val="904"/>
    <w:link w:val="891"/>
    <w:uiPriority w:val="99"/>
    <w:semiHidden/>
    <w:unhideWhenUsed/>
    <w:pPr>
      <w:spacing w:after="0" w:line="240" w:lineRule="auto"/>
    </w:pPr>
    <w:rPr>
      <w:sz w:val="20"/>
    </w:rPr>
  </w:style>
  <w:style w:type="character" w:styleId="891">
    <w:name w:val="Endnote Text Char"/>
    <w:link w:val="890"/>
    <w:uiPriority w:val="99"/>
    <w:rPr>
      <w:sz w:val="20"/>
    </w:rPr>
  </w:style>
  <w:style w:type="character" w:styleId="892">
    <w:name w:val="endnote reference"/>
    <w:uiPriority w:val="99"/>
    <w:semiHidden/>
    <w:unhideWhenUsed/>
    <w:rPr>
      <w:vertAlign w:val="superscript"/>
    </w:rPr>
  </w:style>
  <w:style w:type="paragraph" w:styleId="893">
    <w:name w:val="toc 1"/>
    <w:basedOn w:val="904"/>
    <w:next w:val="904"/>
    <w:uiPriority w:val="39"/>
    <w:unhideWhenUsed/>
    <w:pPr>
      <w:spacing w:after="57"/>
      <w:ind w:left="0" w:right="0" w:firstLine="0"/>
    </w:pPr>
  </w:style>
  <w:style w:type="paragraph" w:styleId="894">
    <w:name w:val="toc 2"/>
    <w:basedOn w:val="904"/>
    <w:next w:val="904"/>
    <w:uiPriority w:val="39"/>
    <w:unhideWhenUsed/>
    <w:pPr>
      <w:spacing w:after="57"/>
      <w:ind w:left="283" w:right="0" w:firstLine="0"/>
    </w:pPr>
  </w:style>
  <w:style w:type="paragraph" w:styleId="895">
    <w:name w:val="toc 3"/>
    <w:basedOn w:val="904"/>
    <w:next w:val="904"/>
    <w:uiPriority w:val="39"/>
    <w:unhideWhenUsed/>
    <w:pPr>
      <w:spacing w:after="57"/>
      <w:ind w:left="567" w:right="0" w:firstLine="0"/>
    </w:pPr>
  </w:style>
  <w:style w:type="paragraph" w:styleId="896">
    <w:name w:val="toc 4"/>
    <w:basedOn w:val="904"/>
    <w:next w:val="904"/>
    <w:uiPriority w:val="39"/>
    <w:unhideWhenUsed/>
    <w:pPr>
      <w:spacing w:after="57"/>
      <w:ind w:left="850" w:right="0" w:firstLine="0"/>
    </w:pPr>
  </w:style>
  <w:style w:type="paragraph" w:styleId="897">
    <w:name w:val="toc 5"/>
    <w:basedOn w:val="904"/>
    <w:next w:val="904"/>
    <w:uiPriority w:val="39"/>
    <w:unhideWhenUsed/>
    <w:pPr>
      <w:spacing w:after="57"/>
      <w:ind w:left="1134" w:right="0" w:firstLine="0"/>
    </w:pPr>
  </w:style>
  <w:style w:type="paragraph" w:styleId="898">
    <w:name w:val="toc 6"/>
    <w:basedOn w:val="904"/>
    <w:next w:val="904"/>
    <w:uiPriority w:val="39"/>
    <w:unhideWhenUsed/>
    <w:pPr>
      <w:spacing w:after="57"/>
      <w:ind w:left="1417" w:right="0" w:firstLine="0"/>
    </w:pPr>
  </w:style>
  <w:style w:type="paragraph" w:styleId="899">
    <w:name w:val="toc 7"/>
    <w:basedOn w:val="904"/>
    <w:next w:val="904"/>
    <w:uiPriority w:val="39"/>
    <w:unhideWhenUsed/>
    <w:pPr>
      <w:spacing w:after="57"/>
      <w:ind w:left="1701" w:right="0" w:firstLine="0"/>
    </w:pPr>
  </w:style>
  <w:style w:type="paragraph" w:styleId="900">
    <w:name w:val="toc 8"/>
    <w:basedOn w:val="904"/>
    <w:next w:val="904"/>
    <w:uiPriority w:val="39"/>
    <w:unhideWhenUsed/>
    <w:pPr>
      <w:spacing w:after="57"/>
      <w:ind w:left="1984" w:right="0" w:firstLine="0"/>
    </w:pPr>
  </w:style>
  <w:style w:type="paragraph" w:styleId="901">
    <w:name w:val="toc 9"/>
    <w:basedOn w:val="904"/>
    <w:next w:val="904"/>
    <w:uiPriority w:val="39"/>
    <w:unhideWhenUsed/>
    <w:pPr>
      <w:spacing w:after="57"/>
      <w:ind w:left="2268" w:right="0" w:firstLine="0"/>
    </w:pPr>
  </w:style>
  <w:style w:type="paragraph" w:styleId="902">
    <w:name w:val="TOC Heading"/>
    <w:uiPriority w:val="39"/>
    <w:unhideWhenUsed/>
  </w:style>
  <w:style w:type="paragraph" w:styleId="903">
    <w:name w:val="table of figures"/>
    <w:basedOn w:val="904"/>
    <w:next w:val="904"/>
    <w:uiPriority w:val="99"/>
    <w:unhideWhenUsed/>
    <w:pPr>
      <w:spacing w:after="0" w:afterAutospacing="0"/>
    </w:pPr>
  </w:style>
  <w:style w:type="paragraph" w:styleId="904" w:default="1">
    <w:name w:val="Normal"/>
    <w:next w:val="904"/>
    <w:link w:val="904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905">
    <w:name w:val="Основной шрифт абзаца"/>
    <w:next w:val="905"/>
    <w:link w:val="904"/>
    <w:uiPriority w:val="1"/>
    <w:unhideWhenUsed/>
  </w:style>
  <w:style w:type="table" w:styleId="906">
    <w:name w:val="Обычная таблица"/>
    <w:next w:val="906"/>
    <w:link w:val="904"/>
    <w:uiPriority w:val="99"/>
    <w:semiHidden/>
    <w:unhideWhenUsed/>
    <w:tblPr/>
  </w:style>
  <w:style w:type="numbering" w:styleId="907">
    <w:name w:val="Нет списка"/>
    <w:next w:val="907"/>
    <w:link w:val="904"/>
    <w:uiPriority w:val="99"/>
    <w:semiHidden/>
    <w:unhideWhenUsed/>
  </w:style>
  <w:style w:type="numbering" w:styleId="908">
    <w:name w:val="Нет списка1"/>
    <w:next w:val="907"/>
    <w:link w:val="904"/>
    <w:uiPriority w:val="99"/>
    <w:semiHidden/>
    <w:unhideWhenUsed/>
  </w:style>
  <w:style w:type="paragraph" w:styleId="909">
    <w:name w:val="ConsPlusNonformat"/>
    <w:next w:val="909"/>
    <w:link w:val="904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10">
    <w:name w:val="ConsPlusCell"/>
    <w:next w:val="910"/>
    <w:link w:val="947"/>
    <w:pPr>
      <w:widowControl w:val="off"/>
    </w:pPr>
    <w:rPr>
      <w:rFonts w:ascii="Times New Roman" w:hAnsi="Times New Roman" w:eastAsia="Times New Roman"/>
      <w:sz w:val="28"/>
      <w:szCs w:val="28"/>
      <w:lang w:val="ru-RU" w:eastAsia="ru-RU" w:bidi="ar-SA"/>
    </w:rPr>
  </w:style>
  <w:style w:type="paragraph" w:styleId="911">
    <w:name w:val="Содержимое таблицы"/>
    <w:basedOn w:val="904"/>
    <w:next w:val="911"/>
    <w:link w:val="904"/>
    <w:pPr>
      <w:widowControl w:val="off"/>
      <w:suppressLineNumbers/>
      <w:spacing w:after="0" w:line="240" w:lineRule="auto"/>
    </w:pPr>
    <w:rPr>
      <w:rFonts w:ascii="Arial" w:hAnsi="Arial" w:eastAsia="Lucida Sans Unicode" w:cs="Calibri"/>
      <w:sz w:val="20"/>
      <w:szCs w:val="24"/>
      <w:lang w:eastAsia="ar-SA"/>
    </w:rPr>
  </w:style>
  <w:style w:type="paragraph" w:styleId="912">
    <w:name w:val="ConsPlusNormal"/>
    <w:next w:val="912"/>
    <w:link w:val="960"/>
    <w:qFormat/>
    <w:rPr>
      <w:rFonts w:ascii="Arial" w:hAnsi="Arial" w:eastAsia="Times New Roman" w:cs="Arial"/>
      <w:lang w:val="ru-RU" w:eastAsia="ru-RU" w:bidi="ar-SA"/>
    </w:rPr>
  </w:style>
  <w:style w:type="paragraph" w:styleId="913">
    <w:name w:val="Обычный (веб)"/>
    <w:basedOn w:val="904"/>
    <w:next w:val="913"/>
    <w:link w:val="90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4">
    <w:name w:val="Стиль"/>
    <w:next w:val="914"/>
    <w:link w:val="904"/>
    <w:pPr>
      <w:widowControl w:val="off"/>
    </w:pPr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15">
    <w:name w:val="Абзац списка"/>
    <w:basedOn w:val="904"/>
    <w:next w:val="915"/>
    <w:link w:val="904"/>
    <w:uiPriority w:val="34"/>
    <w:qFormat/>
    <w:pPr>
      <w:spacing w:after="0" w:line="240" w:lineRule="auto"/>
      <w:ind w:left="72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916">
    <w:name w:val="Верхний колонтитул"/>
    <w:basedOn w:val="904"/>
    <w:next w:val="916"/>
    <w:link w:val="917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  <w:rPr>
      <w:rFonts w:ascii="Times New Roman" w:hAnsi="Times New Roman"/>
      <w:sz w:val="28"/>
    </w:rPr>
  </w:style>
  <w:style w:type="character" w:styleId="917">
    <w:name w:val="Верхний колонтитул Знак"/>
    <w:next w:val="917"/>
    <w:link w:val="916"/>
    <w:uiPriority w:val="99"/>
    <w:rPr>
      <w:rFonts w:ascii="Times New Roman" w:hAnsi="Times New Roman"/>
      <w:sz w:val="28"/>
      <w:szCs w:val="22"/>
      <w:lang w:eastAsia="en-US"/>
    </w:rPr>
  </w:style>
  <w:style w:type="paragraph" w:styleId="918">
    <w:name w:val="Нижний колонтитул"/>
    <w:basedOn w:val="904"/>
    <w:next w:val="918"/>
    <w:link w:val="919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  <w:rPr>
      <w:rFonts w:ascii="Times New Roman" w:hAnsi="Times New Roman"/>
      <w:sz w:val="28"/>
    </w:rPr>
  </w:style>
  <w:style w:type="character" w:styleId="919">
    <w:name w:val="Нижний колонтитул Знак"/>
    <w:next w:val="919"/>
    <w:link w:val="918"/>
    <w:uiPriority w:val="99"/>
    <w:rPr>
      <w:rFonts w:ascii="Times New Roman" w:hAnsi="Times New Roman"/>
      <w:sz w:val="28"/>
      <w:szCs w:val="22"/>
      <w:lang w:eastAsia="en-US"/>
    </w:rPr>
  </w:style>
  <w:style w:type="table" w:styleId="920">
    <w:name w:val="Сетка таблицы"/>
    <w:basedOn w:val="906"/>
    <w:next w:val="920"/>
    <w:link w:val="904"/>
    <w:uiPriority w:val="59"/>
    <w:rPr>
      <w:rFonts w:eastAsia="Times New Roman"/>
      <w:sz w:val="22"/>
      <w:szCs w:val="22"/>
    </w:rPr>
    <w:tblPr/>
  </w:style>
  <w:style w:type="paragraph" w:styleId="921">
    <w:name w:val="Текст выноски"/>
    <w:basedOn w:val="904"/>
    <w:next w:val="921"/>
    <w:link w:val="92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22">
    <w:name w:val="Текст выноски Знак"/>
    <w:next w:val="922"/>
    <w:link w:val="92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23">
    <w:name w:val="Текст сноски"/>
    <w:basedOn w:val="904"/>
    <w:next w:val="923"/>
    <w:link w:val="924"/>
    <w:uiPriority w:val="99"/>
    <w:semiHidden/>
    <w:unhideWhenUsed/>
    <w:rPr>
      <w:sz w:val="20"/>
      <w:szCs w:val="20"/>
    </w:rPr>
  </w:style>
  <w:style w:type="character" w:styleId="924">
    <w:name w:val="Текст сноски Знак"/>
    <w:next w:val="924"/>
    <w:link w:val="923"/>
    <w:uiPriority w:val="99"/>
    <w:semiHidden/>
    <w:rPr>
      <w:lang w:eastAsia="en-US"/>
    </w:rPr>
  </w:style>
  <w:style w:type="character" w:styleId="925">
    <w:name w:val="Знак сноски"/>
    <w:next w:val="925"/>
    <w:link w:val="904"/>
    <w:uiPriority w:val="99"/>
    <w:semiHidden/>
    <w:unhideWhenUsed/>
    <w:rPr>
      <w:vertAlign w:val="superscript"/>
    </w:rPr>
  </w:style>
  <w:style w:type="character" w:styleId="926">
    <w:name w:val="Гиперссылка"/>
    <w:next w:val="926"/>
    <w:link w:val="904"/>
    <w:uiPriority w:val="99"/>
    <w:unhideWhenUsed/>
    <w:rPr>
      <w:color w:val="0000ff"/>
      <w:u w:val="single"/>
    </w:rPr>
  </w:style>
  <w:style w:type="character" w:styleId="927">
    <w:name w:val="Просмотренная гиперссылка"/>
    <w:next w:val="927"/>
    <w:link w:val="904"/>
    <w:uiPriority w:val="99"/>
    <w:semiHidden/>
    <w:unhideWhenUsed/>
    <w:rPr>
      <w:color w:val="800080"/>
      <w:u w:val="single"/>
    </w:rPr>
  </w:style>
  <w:style w:type="paragraph" w:styleId="928">
    <w:name w:val="xl65"/>
    <w:basedOn w:val="904"/>
    <w:next w:val="928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29">
    <w:name w:val="xl66"/>
    <w:basedOn w:val="904"/>
    <w:next w:val="929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30">
    <w:name w:val="xl67"/>
    <w:basedOn w:val="904"/>
    <w:next w:val="930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18"/>
      <w:szCs w:val="18"/>
      <w:lang w:eastAsia="ru-RU"/>
    </w:rPr>
  </w:style>
  <w:style w:type="paragraph" w:styleId="931">
    <w:name w:val="xl68"/>
    <w:basedOn w:val="904"/>
    <w:next w:val="931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32">
    <w:name w:val="xl69"/>
    <w:basedOn w:val="904"/>
    <w:next w:val="932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33">
    <w:name w:val="xl70"/>
    <w:basedOn w:val="904"/>
    <w:next w:val="933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34">
    <w:name w:val="xl71"/>
    <w:basedOn w:val="904"/>
    <w:next w:val="934"/>
    <w:link w:val="90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35">
    <w:name w:val="xl72"/>
    <w:basedOn w:val="904"/>
    <w:next w:val="935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36">
    <w:name w:val="xl73"/>
    <w:basedOn w:val="904"/>
    <w:next w:val="936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b/>
      <w:bCs/>
      <w:sz w:val="18"/>
      <w:szCs w:val="18"/>
      <w:lang w:eastAsia="ru-RU"/>
    </w:rPr>
  </w:style>
  <w:style w:type="paragraph" w:styleId="937">
    <w:name w:val="xl74"/>
    <w:basedOn w:val="904"/>
    <w:next w:val="937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b/>
      <w:bCs/>
      <w:sz w:val="18"/>
      <w:szCs w:val="18"/>
      <w:lang w:eastAsia="ru-RU"/>
    </w:rPr>
  </w:style>
  <w:style w:type="paragraph" w:styleId="938">
    <w:name w:val="xl75"/>
    <w:basedOn w:val="904"/>
    <w:next w:val="938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39">
    <w:name w:val="xl76"/>
    <w:basedOn w:val="904"/>
    <w:next w:val="939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40">
    <w:name w:val="xl77"/>
    <w:basedOn w:val="904"/>
    <w:next w:val="940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color w:val="000000"/>
      <w:sz w:val="18"/>
      <w:szCs w:val="18"/>
      <w:lang w:eastAsia="ru-RU"/>
    </w:rPr>
  </w:style>
  <w:style w:type="paragraph" w:styleId="941">
    <w:name w:val="xl78"/>
    <w:basedOn w:val="904"/>
    <w:next w:val="941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color w:val="000000"/>
      <w:sz w:val="18"/>
      <w:szCs w:val="18"/>
      <w:lang w:eastAsia="ru-RU"/>
    </w:rPr>
  </w:style>
  <w:style w:type="paragraph" w:styleId="942">
    <w:name w:val="xl79"/>
    <w:basedOn w:val="904"/>
    <w:next w:val="942"/>
    <w:link w:val="904"/>
    <w:pPr>
      <w:pBdr>
        <w:top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43">
    <w:name w:val="xl80"/>
    <w:basedOn w:val="904"/>
    <w:next w:val="943"/>
    <w:link w:val="904"/>
    <w:pP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44">
    <w:name w:val="xl81"/>
    <w:basedOn w:val="904"/>
    <w:next w:val="944"/>
    <w:link w:val="904"/>
    <w:pPr>
      <w:pBdr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paragraph" w:styleId="945">
    <w:name w:val="xl82"/>
    <w:basedOn w:val="904"/>
    <w:next w:val="945"/>
    <w:link w:val="904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18"/>
      <w:szCs w:val="18"/>
      <w:lang w:eastAsia="ru-RU"/>
    </w:rPr>
  </w:style>
  <w:style w:type="paragraph" w:styleId="946">
    <w:name w:val="xl83"/>
    <w:basedOn w:val="904"/>
    <w:next w:val="946"/>
    <w:link w:val="904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sz w:val="18"/>
      <w:szCs w:val="18"/>
      <w:lang w:eastAsia="ru-RU"/>
    </w:rPr>
  </w:style>
  <w:style w:type="character" w:styleId="947">
    <w:name w:val="ConsPlusCell Знак"/>
    <w:next w:val="947"/>
    <w:link w:val="910"/>
    <w:rPr>
      <w:rFonts w:ascii="Times New Roman" w:hAnsi="Times New Roman" w:eastAsia="Times New Roman"/>
      <w:sz w:val="28"/>
      <w:szCs w:val="28"/>
    </w:rPr>
  </w:style>
  <w:style w:type="paragraph" w:styleId="948">
    <w:name w:val=" Знак Знак Знак Знак1"/>
    <w:basedOn w:val="904"/>
    <w:next w:val="948"/>
    <w:link w:val="904"/>
    <w:pPr>
      <w:spacing w:after="0" w:line="240" w:lineRule="auto"/>
    </w:pPr>
    <w:rPr>
      <w:rFonts w:ascii="Verdana" w:hAnsi="Verdana" w:eastAsia="Times New Roman" w:cs="Verdana"/>
      <w:sz w:val="20"/>
      <w:szCs w:val="20"/>
      <w:lang w:val="en-US"/>
    </w:rPr>
  </w:style>
  <w:style w:type="paragraph" w:styleId="949">
    <w:name w:val="Без интервала"/>
    <w:next w:val="949"/>
    <w:link w:val="959"/>
    <w:uiPriority w:val="1"/>
    <w:qFormat/>
    <w:rPr>
      <w:sz w:val="22"/>
      <w:szCs w:val="22"/>
      <w:lang w:val="ru-RU" w:eastAsia="en-US" w:bidi="ar-SA"/>
    </w:rPr>
  </w:style>
  <w:style w:type="paragraph" w:styleId="950">
    <w:name w:val="Standard"/>
    <w:next w:val="950"/>
    <w:link w:val="904"/>
    <w:pPr>
      <w:spacing w:after="160" w:line="244" w:lineRule="auto"/>
    </w:pPr>
    <w:rPr>
      <w:rFonts w:eastAsia="SimSun" w:cs="Calibri"/>
      <w:sz w:val="22"/>
      <w:szCs w:val="22"/>
      <w:lang w:val="ru-RU" w:eastAsia="en-US" w:bidi="ar-SA"/>
    </w:rPr>
  </w:style>
  <w:style w:type="paragraph" w:styleId="951">
    <w:name w:val="Знак"/>
    <w:basedOn w:val="904"/>
    <w:next w:val="951"/>
    <w:link w:val="904"/>
    <w:pPr>
      <w:spacing w:after="160" w:line="240" w:lineRule="exact"/>
    </w:pPr>
    <w:rPr>
      <w:rFonts w:ascii="Times New Roman" w:hAnsi="Times New Roman" w:eastAsia="Times New Roman"/>
      <w:sz w:val="28"/>
      <w:szCs w:val="20"/>
      <w:lang w:val="en-US"/>
    </w:rPr>
  </w:style>
  <w:style w:type="character" w:styleId="952">
    <w:name w:val="Гипертекстовая ссылка"/>
    <w:next w:val="952"/>
    <w:link w:val="904"/>
    <w:uiPriority w:val="99"/>
    <w:rPr>
      <w:rFonts w:ascii="Times New Roman" w:hAnsi="Times New Roman" w:cs="Times New Roman"/>
      <w:color w:val="106bbe"/>
    </w:rPr>
  </w:style>
  <w:style w:type="character" w:styleId="953">
    <w:name w:val="Знак примечания"/>
    <w:next w:val="953"/>
    <w:link w:val="904"/>
    <w:uiPriority w:val="99"/>
    <w:semiHidden/>
    <w:unhideWhenUsed/>
    <w:rPr>
      <w:sz w:val="16"/>
      <w:szCs w:val="16"/>
    </w:rPr>
  </w:style>
  <w:style w:type="paragraph" w:styleId="954">
    <w:name w:val="Текст примечания"/>
    <w:basedOn w:val="904"/>
    <w:next w:val="954"/>
    <w:link w:val="955"/>
    <w:uiPriority w:val="99"/>
    <w:semiHidden/>
    <w:unhideWhenUsed/>
    <w:rPr>
      <w:sz w:val="20"/>
      <w:szCs w:val="20"/>
    </w:rPr>
  </w:style>
  <w:style w:type="character" w:styleId="955">
    <w:name w:val="Текст примечания Знак"/>
    <w:next w:val="955"/>
    <w:link w:val="954"/>
    <w:uiPriority w:val="99"/>
    <w:semiHidden/>
    <w:rPr>
      <w:lang w:eastAsia="en-US"/>
    </w:rPr>
  </w:style>
  <w:style w:type="paragraph" w:styleId="956">
    <w:name w:val="Тема примечания"/>
    <w:basedOn w:val="954"/>
    <w:next w:val="954"/>
    <w:link w:val="957"/>
    <w:uiPriority w:val="99"/>
    <w:semiHidden/>
    <w:unhideWhenUsed/>
    <w:rPr>
      <w:b/>
      <w:bCs/>
    </w:rPr>
  </w:style>
  <w:style w:type="character" w:styleId="957">
    <w:name w:val="Тема примечания Знак"/>
    <w:next w:val="957"/>
    <w:link w:val="956"/>
    <w:uiPriority w:val="99"/>
    <w:semiHidden/>
    <w:rPr>
      <w:b/>
      <w:bCs/>
      <w:lang w:eastAsia="en-US"/>
    </w:rPr>
  </w:style>
  <w:style w:type="paragraph" w:styleId="958">
    <w:name w:val="ConsPlusTitle"/>
    <w:next w:val="958"/>
    <w:link w:val="904"/>
    <w:pPr>
      <w:spacing w:before="20"/>
    </w:pPr>
    <w:rPr>
      <w:rFonts w:ascii="Times New Roman" w:hAnsi="Times New Roman" w:eastAsia="Times New Roman"/>
      <w:b/>
      <w:bCs/>
      <w:sz w:val="28"/>
      <w:szCs w:val="28"/>
      <w:lang w:val="ru-RU" w:eastAsia="en-US" w:bidi="ar-SA"/>
    </w:rPr>
  </w:style>
  <w:style w:type="character" w:styleId="959">
    <w:name w:val="Без интервала Знак"/>
    <w:next w:val="959"/>
    <w:link w:val="949"/>
    <w:uiPriority w:val="1"/>
    <w:rPr>
      <w:sz w:val="22"/>
      <w:szCs w:val="22"/>
      <w:lang w:eastAsia="en-US"/>
    </w:rPr>
  </w:style>
  <w:style w:type="character" w:styleId="960">
    <w:name w:val="ConsPlusNormal Знак"/>
    <w:next w:val="960"/>
    <w:link w:val="912"/>
    <w:rPr>
      <w:rFonts w:ascii="Arial" w:hAnsi="Arial" w:eastAsia="Times New Roman" w:cs="Arial"/>
    </w:rPr>
  </w:style>
  <w:style w:type="paragraph" w:styleId="961">
    <w:name w:val=" Знак Знак Знак Знак"/>
    <w:basedOn w:val="904"/>
    <w:next w:val="961"/>
    <w:link w:val="904"/>
    <w:pPr>
      <w:spacing w:after="160" w:line="240" w:lineRule="exact"/>
    </w:pPr>
    <w:rPr>
      <w:rFonts w:ascii="Verdana" w:hAnsi="Verdana" w:eastAsia="Times New Roman"/>
      <w:sz w:val="20"/>
      <w:szCs w:val="20"/>
      <w:lang w:val="en-US"/>
    </w:rPr>
  </w:style>
  <w:style w:type="paragraph" w:styleId="962">
    <w:name w:val="Текст концевой сноски"/>
    <w:basedOn w:val="904"/>
    <w:next w:val="962"/>
    <w:link w:val="963"/>
    <w:uiPriority w:val="99"/>
    <w:semiHidden/>
    <w:unhideWhenUsed/>
    <w:rPr>
      <w:sz w:val="20"/>
      <w:szCs w:val="20"/>
    </w:rPr>
  </w:style>
  <w:style w:type="character" w:styleId="963">
    <w:name w:val="Текст концевой сноски Знак"/>
    <w:next w:val="963"/>
    <w:link w:val="962"/>
    <w:uiPriority w:val="99"/>
    <w:semiHidden/>
    <w:rPr>
      <w:lang w:eastAsia="en-US"/>
    </w:rPr>
  </w:style>
  <w:style w:type="character" w:styleId="964">
    <w:name w:val="Знак концевой сноски"/>
    <w:next w:val="964"/>
    <w:link w:val="904"/>
    <w:uiPriority w:val="99"/>
    <w:semiHidden/>
    <w:unhideWhenUsed/>
    <w:rPr>
      <w:vertAlign w:val="superscript"/>
    </w:rPr>
  </w:style>
  <w:style w:type="character" w:styleId="965">
    <w:name w:val="Выделение"/>
    <w:next w:val="965"/>
    <w:link w:val="904"/>
    <w:uiPriority w:val="20"/>
    <w:qFormat/>
    <w:rPr>
      <w:i/>
      <w:iCs/>
    </w:rPr>
  </w:style>
  <w:style w:type="character" w:styleId="966" w:default="1">
    <w:name w:val="Default Paragraph Font"/>
    <w:uiPriority w:val="1"/>
    <w:semiHidden/>
    <w:unhideWhenUsed/>
  </w:style>
  <w:style w:type="numbering" w:styleId="967" w:default="1">
    <w:name w:val="No List"/>
    <w:uiPriority w:val="99"/>
    <w:semiHidden/>
    <w:unhideWhenUsed/>
  </w:style>
  <w:style w:type="table" w:styleId="968" w:default="1">
    <w:name w:val="Normal Table"/>
    <w:uiPriority w:val="99"/>
    <w:semiHidden/>
    <w:unhideWhenUsed/>
    <w:tblPr/>
  </w:style>
  <w:style w:type="paragraph" w:styleId="969" w:customStyle="1">
    <w:name w:val="Прижатый влево"/>
    <w:basedOn w:val="832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Администрация г.Мегион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Фрезе Валерия Павловна</dc:creator>
  <cp:lastModifiedBy>BersenevaIV</cp:lastModifiedBy>
  <cp:revision>773</cp:revision>
  <dcterms:created xsi:type="dcterms:W3CDTF">2016-02-12T04:47:00Z</dcterms:created>
  <dcterms:modified xsi:type="dcterms:W3CDTF">2026-03-26T07:00:19Z</dcterms:modified>
  <cp:version>1048576</cp:version>
</cp:coreProperties>
</file>